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0D" w:rsidRPr="00DB1D6F" w:rsidRDefault="00537A91" w:rsidP="00430B0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2pt;margin-top:7.5pt;width:196pt;height:77pt;z-index:251660288" strokecolor="white" strokeweight="1pt">
            <v:stroke dashstyle="dash"/>
            <v:shadow color="#868686"/>
            <v:textbox style="mso-next-textbox:#_x0000_s1026">
              <w:txbxContent>
                <w:p w:rsidR="00430B0D" w:rsidRPr="003A2C9F" w:rsidRDefault="00430B0D" w:rsidP="00430B0D">
                  <w:pPr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</w:pBdr>
                  </w:pPr>
                  <w:r w:rsidRPr="003A2C9F">
                    <w:rPr>
                      <w:b/>
                      <w:i/>
                    </w:rPr>
                    <w:t>A</w:t>
                  </w:r>
                  <w:r w:rsidRPr="003A2C9F">
                    <w:t xml:space="preserve">ta da </w:t>
                  </w:r>
                  <w:r w:rsidR="00851A04">
                    <w:t>4</w:t>
                  </w:r>
                  <w:r w:rsidR="00456BDB">
                    <w:t>3</w:t>
                  </w:r>
                  <w:r w:rsidR="009D2845">
                    <w:t>ª</w:t>
                  </w:r>
                  <w:r w:rsidRPr="003A2C9F">
                    <w:t xml:space="preserve"> Sessão </w:t>
                  </w:r>
                  <w:r>
                    <w:t xml:space="preserve">Ordinária </w:t>
                  </w:r>
                  <w:r w:rsidRPr="003A2C9F">
                    <w:t xml:space="preserve">do Conselho Social / FUNDEB – Rio de Janeiro, realizada em </w:t>
                  </w:r>
                  <w:r w:rsidR="00456BDB">
                    <w:t>11</w:t>
                  </w:r>
                  <w:r w:rsidRPr="003A2C9F">
                    <w:t xml:space="preserve"> de </w:t>
                  </w:r>
                  <w:r w:rsidR="00456BDB">
                    <w:t>julho</w:t>
                  </w:r>
                  <w:r w:rsidRPr="003A2C9F">
                    <w:t xml:space="preserve"> de 201</w:t>
                  </w:r>
                  <w:r>
                    <w:t>2</w:t>
                  </w:r>
                  <w:r w:rsidRPr="003A2C9F">
                    <w:t xml:space="preserve">. </w:t>
                  </w:r>
                </w:p>
                <w:p w:rsidR="00430B0D" w:rsidRDefault="00430B0D" w:rsidP="00430B0D">
                  <w:pPr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</w:pBdr>
                  </w:pPr>
                </w:p>
              </w:txbxContent>
            </v:textbox>
          </v:shape>
        </w:pict>
      </w:r>
    </w:p>
    <w:p w:rsidR="00DB1D6F" w:rsidRPr="00DB1D6F" w:rsidRDefault="00DB1D6F" w:rsidP="00430B0D"/>
    <w:p w:rsidR="00430B0D" w:rsidRPr="00DB1D6F" w:rsidRDefault="00430B0D" w:rsidP="00430B0D"/>
    <w:p w:rsidR="00430B0D" w:rsidRPr="00DB1D6F" w:rsidRDefault="00430B0D" w:rsidP="00430B0D">
      <w:pPr>
        <w:pStyle w:val="SemEspaamento"/>
        <w:jc w:val="both"/>
        <w:rPr>
          <w:rFonts w:ascii="Book Antiqua" w:hAnsi="Book Antiqua"/>
          <w:sz w:val="24"/>
          <w:szCs w:val="24"/>
        </w:rPr>
      </w:pPr>
    </w:p>
    <w:p w:rsidR="001F4CEA" w:rsidRPr="00DB1D6F" w:rsidRDefault="001F4CEA" w:rsidP="00430B0D"/>
    <w:p w:rsidR="00FF3FA6" w:rsidRPr="00DB1D6F" w:rsidRDefault="00430B0D" w:rsidP="00430B0D">
      <w:r w:rsidRPr="00DB1D6F">
        <w:t xml:space="preserve">Aos </w:t>
      </w:r>
      <w:r w:rsidR="00456BDB" w:rsidRPr="00DB1D6F">
        <w:t>onze</w:t>
      </w:r>
      <w:r w:rsidR="00A72C38" w:rsidRPr="00DB1D6F">
        <w:t xml:space="preserve"> dias do mês de </w:t>
      </w:r>
      <w:r w:rsidR="00456BDB" w:rsidRPr="00DB1D6F">
        <w:t>julho</w:t>
      </w:r>
      <w:r w:rsidR="00A72C38" w:rsidRPr="00DB1D6F">
        <w:t xml:space="preserve"> de 2012</w:t>
      </w:r>
      <w:r w:rsidRPr="00DB1D6F">
        <w:t xml:space="preserve">, realizou-se nas dependências da Secretaria Estadual de Educação a </w:t>
      </w:r>
      <w:r w:rsidR="00851A04" w:rsidRPr="00DB1D6F">
        <w:t xml:space="preserve">quadragésima </w:t>
      </w:r>
      <w:r w:rsidR="00456BDB" w:rsidRPr="00DB1D6F">
        <w:t>terceira</w:t>
      </w:r>
      <w:r w:rsidRPr="00DB1D6F">
        <w:t xml:space="preserve">reunião do Conselho de Acompanhamento e Controle Social do Fundo de Manutenção e Desenvolvimento da Educação Básica e de Valorização dos Profissionais da Educação do Estado do Rio de Janeiro.  Presentes os Senhores Conselheiros </w:t>
      </w:r>
      <w:r w:rsidR="00FF3FA6" w:rsidRPr="00DB1D6F">
        <w:t>Marco Antônio Rosa Silva, Sérgio Mendes, Creuza Mattoso de Almeida, Marila Sampaio de Sant’anna, Marlene Puerta Coelho, Rosemery Borges Pereira</w:t>
      </w:r>
      <w:r w:rsidR="00456BDB" w:rsidRPr="00DB1D6F">
        <w:t xml:space="preserve">,Solange Bergami, Sidney Campos Neves, </w:t>
      </w:r>
      <w:r w:rsidR="003C3A09" w:rsidRPr="00DB1D6F">
        <w:t>Carlos Alexandre de Lima Nogueira</w:t>
      </w:r>
      <w:r w:rsidR="00456BDB" w:rsidRPr="00DB1D6F">
        <w:t xml:space="preserve"> e Sandra Barros Del Rei</w:t>
      </w:r>
      <w:r w:rsidR="002D19FF" w:rsidRPr="00DB1D6F">
        <w:t>.</w:t>
      </w:r>
    </w:p>
    <w:p w:rsidR="00715DAD" w:rsidRPr="00DB1D6F" w:rsidRDefault="00FF3FA6" w:rsidP="008176CA">
      <w:r w:rsidRPr="00DB1D6F">
        <w:t>A</w:t>
      </w:r>
      <w:r w:rsidR="00A675FC" w:rsidRPr="00DB1D6F">
        <w:t xml:space="preserve">berta a sessão, </w:t>
      </w:r>
      <w:r w:rsidR="00F344C4" w:rsidRPr="00DB1D6F">
        <w:t xml:space="preserve">registrou-se a presença dos senhores Luiz Fernando </w:t>
      </w:r>
      <w:r w:rsidR="00B37A2F" w:rsidRPr="00DB1D6F">
        <w:t xml:space="preserve">de M. </w:t>
      </w:r>
      <w:r w:rsidR="00F344C4" w:rsidRPr="00DB1D6F">
        <w:t>Ferreira e Nilton Silv</w:t>
      </w:r>
      <w:r w:rsidR="00B37A2F" w:rsidRPr="00DB1D6F">
        <w:t>a</w:t>
      </w:r>
      <w:r w:rsidR="00F344C4" w:rsidRPr="00DB1D6F">
        <w:t xml:space="preserve"> de Jesus, representantes do Sindicato dos Profissionais de Educação da </w:t>
      </w:r>
      <w:r w:rsidR="00B37A2F" w:rsidRPr="00DB1D6F">
        <w:t xml:space="preserve">Fundação Apoio Escola Técnicas </w:t>
      </w:r>
      <w:r w:rsidR="00F344C4" w:rsidRPr="00DB1D6F">
        <w:t xml:space="preserve"> Rio de Janeiro</w:t>
      </w:r>
      <w:r w:rsidR="00B37A2F" w:rsidRPr="00DB1D6F">
        <w:t xml:space="preserve"> – SINDPEFAETEC. Estes senhores aceitaram um convite do Conselho para debater sobre o funcionamento e as etapas de fiscalização e acompanhamento do FUNDEB, especialmente no que tange ao repasse de verbas do fundo à FAETEC.  Foram informados que, pelo entendimento do Fundo Nacional </w:t>
      </w:r>
      <w:r w:rsidR="008176CA" w:rsidRPr="00DB1D6F">
        <w:t xml:space="preserve">de Desenvolvimento da Educação - </w:t>
      </w:r>
      <w:r w:rsidR="00B37A2F" w:rsidRPr="00DB1D6F">
        <w:t>FNDE e</w:t>
      </w:r>
      <w:r w:rsidR="008176CA" w:rsidRPr="00DB1D6F">
        <w:t xml:space="preserve"> do Tribunal de Contas do Estado do Rio de Janeiro – TCE/RJ, acatado por este Conselho, somente o(a) Secretário(a) de Educação (ou o responsável por órgãoequivalente) do respectivo governo, solidariamente com o Chefe do Poder Executivo, atuandomediante delegação de competência deste, </w:t>
      </w:r>
      <w:r w:rsidR="00DB1D6F" w:rsidRPr="00DB1D6F">
        <w:t>poderá</w:t>
      </w:r>
      <w:r w:rsidR="008176CA" w:rsidRPr="00DB1D6F">
        <w:t xml:space="preserve"> atuar como ordenador de despesas</w:t>
      </w:r>
      <w:r w:rsidR="00DB1D6F" w:rsidRPr="00DB1D6F">
        <w:t xml:space="preserve"> do FUNDEB. Como a FAETEC é ligada à Secretaria de Ciência e Tecnologia do Estado, não é possível o repasse direto de recursos do Fundo para a Secretaria/FAETEC. Também lhes foi informado pela SEEDUC que não há nenhum repasse da Secretaria, através de convênio para a FAETEC.</w:t>
      </w:r>
    </w:p>
    <w:p w:rsidR="001030BE" w:rsidRPr="00DB1D6F" w:rsidRDefault="00DB1D6F" w:rsidP="00430B0D">
      <w:r w:rsidRPr="00DB1D6F">
        <w:t xml:space="preserve">Dando continuidade a pauta da reunião, o Conselheiro Sergio Mendes apresentou para apreciação do Conselho o portal criado por ele, do </w:t>
      </w:r>
      <w:r w:rsidR="000524AA">
        <w:t>Conselho do FUNDEB/</w:t>
      </w:r>
      <w:r w:rsidRPr="00DB1D6F">
        <w:t xml:space="preserve">RJ, todos elogiaram, mas solicitaram </w:t>
      </w:r>
      <w:r w:rsidR="000524AA">
        <w:rPr>
          <w:color w:val="000000"/>
        </w:rPr>
        <w:t>a</w:t>
      </w:r>
      <w:r w:rsidRPr="00DB1D6F">
        <w:rPr>
          <w:color w:val="000000"/>
        </w:rPr>
        <w:t>lguns ajustes.</w:t>
      </w:r>
      <w:r w:rsidR="001030BE" w:rsidRPr="00DB1D6F">
        <w:t xml:space="preserve">O Conselheiro Sergio Mendes apostilou todas as solicitações para as devidas modificações no site e irá apresentar ao Conselho </w:t>
      </w:r>
      <w:r w:rsidR="001B29AB" w:rsidRPr="00DB1D6F">
        <w:t>num</w:t>
      </w:r>
      <w:r w:rsidR="001030BE" w:rsidRPr="00DB1D6F">
        <w:t xml:space="preserve"> segundo momento, </w:t>
      </w:r>
      <w:r w:rsidR="001B29AB" w:rsidRPr="00DB1D6F">
        <w:t xml:space="preserve">depois de </w:t>
      </w:r>
      <w:r w:rsidR="001030BE" w:rsidRPr="00DB1D6F">
        <w:t>atendida as solicitações dos Conselheiros.</w:t>
      </w:r>
    </w:p>
    <w:p w:rsidR="007F4D45" w:rsidRPr="00DB1D6F" w:rsidRDefault="007F4D45" w:rsidP="00430B0D">
      <w:r w:rsidRPr="00DB1D6F">
        <w:lastRenderedPageBreak/>
        <w:t xml:space="preserve">Em seguida, a Sra. Carla Prata, distribuiu os demonstrativos financeiros, </w:t>
      </w:r>
      <w:r w:rsidR="00961925" w:rsidRPr="00DB1D6F">
        <w:t xml:space="preserve">referente </w:t>
      </w:r>
      <w:r w:rsidR="001B29AB" w:rsidRPr="00DB1D6F">
        <w:t>às</w:t>
      </w:r>
      <w:r w:rsidR="00961925" w:rsidRPr="00DB1D6F">
        <w:t xml:space="preserve"> contas do Fundeb, como </w:t>
      </w:r>
      <w:r w:rsidRPr="00DB1D6F">
        <w:t xml:space="preserve">extratos bancários </w:t>
      </w:r>
      <w:r w:rsidR="00673F89" w:rsidRPr="00DB1D6F">
        <w:t xml:space="preserve">do Banco do Brasil, Resumos de Repasses </w:t>
      </w:r>
      <w:r w:rsidR="00940C7A" w:rsidRPr="00DB1D6F">
        <w:t xml:space="preserve">do Estado </w:t>
      </w:r>
      <w:r w:rsidR="00673F89" w:rsidRPr="00DB1D6F">
        <w:t xml:space="preserve">aos Municípios e Relatórios de Repasses aos Municípios Analíticos, do período de janeiro a junho, 1º semestre de 2012, para que os Conselheiros </w:t>
      </w:r>
      <w:r w:rsidR="001B29AB" w:rsidRPr="00DB1D6F">
        <w:t>analisem</w:t>
      </w:r>
      <w:r w:rsidR="00673F89" w:rsidRPr="00DB1D6F">
        <w:t xml:space="preserve"> e na próxima reunião</w:t>
      </w:r>
      <w:r w:rsidR="00940C7A" w:rsidRPr="00DB1D6F">
        <w:t>,</w:t>
      </w:r>
      <w:r w:rsidR="00673F89" w:rsidRPr="00DB1D6F">
        <w:t xml:space="preserve"> será debatido com o</w:t>
      </w:r>
      <w:r w:rsidR="001B29AB" w:rsidRPr="00DB1D6F">
        <w:t>sfuncionários</w:t>
      </w:r>
      <w:r w:rsidR="00673F89" w:rsidRPr="00DB1D6F">
        <w:t xml:space="preserve"> da Assessoria de Contabilidade Analítica, setor responsável pelas contas do Fundeb na Seeduc.   </w:t>
      </w:r>
    </w:p>
    <w:p w:rsidR="00446DAB" w:rsidRPr="00DB1D6F" w:rsidRDefault="004B4828" w:rsidP="00E06832">
      <w:pPr>
        <w:spacing w:before="100" w:beforeAutospacing="1" w:after="100" w:afterAutospacing="1"/>
      </w:pPr>
      <w:r w:rsidRPr="00DB1D6F">
        <w:t xml:space="preserve">Próximo </w:t>
      </w:r>
      <w:r w:rsidR="00A07A81" w:rsidRPr="00DB1D6F">
        <w:t>tema</w:t>
      </w:r>
      <w:r w:rsidR="002C1812">
        <w:t xml:space="preserve"> </w:t>
      </w:r>
      <w:r w:rsidR="002C6D15" w:rsidRPr="00DB1D6F">
        <w:t>tratado</w:t>
      </w:r>
      <w:r w:rsidR="00E3491F" w:rsidRPr="00DB1D6F">
        <w:t xml:space="preserve"> foi a DETERMINAÇÃO nº 40, </w:t>
      </w:r>
      <w:r w:rsidR="000524AA">
        <w:t>na qual</w:t>
      </w:r>
      <w:r w:rsidR="002C1812">
        <w:t xml:space="preserve"> </w:t>
      </w:r>
      <w:r w:rsidR="00BE4D84" w:rsidRPr="00DB1D6F">
        <w:t xml:space="preserve">foi solicitado </w:t>
      </w:r>
      <w:r w:rsidR="00E3491F" w:rsidRPr="00DB1D6F">
        <w:t>pela</w:t>
      </w:r>
      <w:r w:rsidRPr="00DB1D6F">
        <w:t xml:space="preserve"> Egrégi</w:t>
      </w:r>
      <w:r w:rsidR="00BE4D84" w:rsidRPr="00DB1D6F">
        <w:t>a</w:t>
      </w:r>
      <w:r w:rsidR="002C1812">
        <w:t xml:space="preserve"> </w:t>
      </w:r>
      <w:r w:rsidR="00BE4D84" w:rsidRPr="00DB1D6F">
        <w:t xml:space="preserve">Corte do </w:t>
      </w:r>
      <w:r w:rsidRPr="00DB1D6F">
        <w:t>Tribunal</w:t>
      </w:r>
      <w:r w:rsidR="00BE4D84" w:rsidRPr="00DB1D6F">
        <w:t xml:space="preserve"> – TCE, em análise das contas, </w:t>
      </w:r>
      <w:r w:rsidR="00E3491F" w:rsidRPr="00DB1D6F">
        <w:t xml:space="preserve">contidas no </w:t>
      </w:r>
      <w:r w:rsidR="00BE4D84" w:rsidRPr="00DB1D6F">
        <w:t xml:space="preserve">Proc. 103.535./2012, </w:t>
      </w:r>
      <w:r w:rsidR="00E3491F" w:rsidRPr="00DB1D6F">
        <w:t>referente ao exercício de 2011,</w:t>
      </w:r>
      <w:r w:rsidR="002C1812">
        <w:t xml:space="preserve"> </w:t>
      </w:r>
      <w:r w:rsidR="000524AA">
        <w:t>o seguinte</w:t>
      </w:r>
      <w:r w:rsidR="00446DAB" w:rsidRPr="00DB1D6F">
        <w:t>:</w:t>
      </w:r>
    </w:p>
    <w:p w:rsidR="00446DAB" w:rsidRPr="00DB1D6F" w:rsidRDefault="00446DAB" w:rsidP="000524AA">
      <w:pPr>
        <w:spacing w:before="100" w:beforeAutospacing="1" w:after="100" w:afterAutospacing="1"/>
      </w:pPr>
      <w:r w:rsidRPr="00DB1D6F">
        <w:t>“</w:t>
      </w:r>
      <w:r w:rsidRPr="00DB1D6F">
        <w:rPr>
          <w:b/>
        </w:rPr>
        <w:t>Adotar providências no sentido de que o Parecer do Conselho de Acompanhamento e Controle Social do FUNDEB seja assinado por todos os seus membros</w:t>
      </w:r>
      <w:r w:rsidRPr="00DB1D6F">
        <w:t>”.</w:t>
      </w:r>
    </w:p>
    <w:p w:rsidR="00A07A81" w:rsidRPr="00DB1D6F" w:rsidRDefault="004B4828" w:rsidP="00E06832">
      <w:pPr>
        <w:spacing w:before="100" w:beforeAutospacing="1" w:after="100" w:afterAutospacing="1"/>
      </w:pPr>
      <w:r w:rsidRPr="00DB1D6F">
        <w:t>O Conselheiro Presidente</w:t>
      </w:r>
      <w:r w:rsidR="00A07A81" w:rsidRPr="00DB1D6F">
        <w:t xml:space="preserve"> informou</w:t>
      </w:r>
      <w:r w:rsidRPr="00DB1D6F">
        <w:t xml:space="preserve"> que </w:t>
      </w:r>
      <w:r w:rsidR="004A7C93" w:rsidRPr="00DB1D6F">
        <w:t xml:space="preserve">respondeupor e-mail </w:t>
      </w:r>
      <w:r w:rsidRPr="00DB1D6F">
        <w:t xml:space="preserve">ao </w:t>
      </w:r>
      <w:r w:rsidR="004A7C93" w:rsidRPr="00DB1D6F">
        <w:t xml:space="preserve">Chefe de </w:t>
      </w:r>
      <w:r w:rsidR="00A07A81" w:rsidRPr="00DB1D6F">
        <w:t>Gabinete,</w:t>
      </w:r>
      <w:r w:rsidR="004A7C93" w:rsidRPr="00DB1D6F">
        <w:t xml:space="preserve"> ao </w:t>
      </w:r>
      <w:r w:rsidR="00A07A81" w:rsidRPr="00DB1D6F">
        <w:t xml:space="preserve">setor de contabilidade e </w:t>
      </w:r>
      <w:r w:rsidR="004A7C93" w:rsidRPr="00DB1D6F">
        <w:t>ao</w:t>
      </w:r>
      <w:r w:rsidR="00A07A81" w:rsidRPr="00DB1D6F">
        <w:t xml:space="preserve"> setor financeiro da SEEDUC, a posição do Conselho do F</w:t>
      </w:r>
      <w:r w:rsidR="00446DAB" w:rsidRPr="00DB1D6F">
        <w:t>UNDEB</w:t>
      </w:r>
      <w:r w:rsidR="00A07A81" w:rsidRPr="00DB1D6F">
        <w:t xml:space="preserve">-RJ, </w:t>
      </w:r>
      <w:r w:rsidR="004A7C93" w:rsidRPr="00DB1D6F">
        <w:t xml:space="preserve">“AD REFERENDUM” </w:t>
      </w:r>
      <w:r w:rsidR="00A07A81" w:rsidRPr="00DB1D6F">
        <w:t>sobre este assunto</w:t>
      </w:r>
      <w:r w:rsidR="004A7C93" w:rsidRPr="00DB1D6F">
        <w:t xml:space="preserve">da seguinte forma: não procede a solicitação daquela Corte </w:t>
      </w:r>
      <w:r w:rsidR="00446DAB" w:rsidRPr="00DB1D6F">
        <w:t xml:space="preserve">e </w:t>
      </w:r>
      <w:r w:rsidR="004A7C93" w:rsidRPr="00DB1D6F">
        <w:t xml:space="preserve">é </w:t>
      </w:r>
      <w:r w:rsidR="00446DAB" w:rsidRPr="00DB1D6F">
        <w:t>inviável garantir a assinatura de todos os Conselheiros na aprovação das contas d</w:t>
      </w:r>
      <w:r w:rsidR="004A7C93" w:rsidRPr="00DB1D6F">
        <w:t>aSEEDUC</w:t>
      </w:r>
      <w:r w:rsidR="00A07A81" w:rsidRPr="00DB1D6F">
        <w:t>.</w:t>
      </w:r>
      <w:r w:rsidR="004A7C93" w:rsidRPr="00DB1D6F">
        <w:t xml:space="preserve"> Por decisão un</w:t>
      </w:r>
      <w:r w:rsidR="000524AA">
        <w:t>â</w:t>
      </w:r>
      <w:r w:rsidR="004A7C93" w:rsidRPr="00DB1D6F">
        <w:t>nime dos Conselheiros, esta respo</w:t>
      </w:r>
      <w:r w:rsidR="00375642" w:rsidRPr="00DB1D6F">
        <w:t>s</w:t>
      </w:r>
      <w:r w:rsidR="004A7C93" w:rsidRPr="00DB1D6F">
        <w:t>ta será encaminhada a Chefia de Gabinete em forma de oficio para ser encaminhada ao TCE-RJ.</w:t>
      </w:r>
    </w:p>
    <w:p w:rsidR="00A07A81" w:rsidRPr="00DB1D6F" w:rsidRDefault="00900CB5" w:rsidP="00E06832">
      <w:pPr>
        <w:spacing w:before="100" w:beforeAutospacing="1" w:after="100" w:afterAutospacing="1"/>
      </w:pPr>
      <w:r w:rsidRPr="00DB1D6F">
        <w:t xml:space="preserve">Em seguida, </w:t>
      </w:r>
      <w:r w:rsidR="00A753F4" w:rsidRPr="00DB1D6F">
        <w:t>foi colocado para conhecimento de todos através da Conselheira Creusa</w:t>
      </w:r>
      <w:r w:rsidR="000524AA">
        <w:t xml:space="preserve"> Mattoso</w:t>
      </w:r>
      <w:r w:rsidR="00A753F4" w:rsidRPr="00DB1D6F">
        <w:t xml:space="preserve">, representante da Secretaria de Estado de Fazenda, </w:t>
      </w:r>
      <w:r w:rsidR="007A1B0D" w:rsidRPr="00DB1D6F">
        <w:t>a criação de</w:t>
      </w:r>
      <w:r w:rsidR="002D2940" w:rsidRPr="00DB1D6F">
        <w:t xml:space="preserve"> um grupo de trabalho </w:t>
      </w:r>
      <w:r w:rsidR="004A7C93" w:rsidRPr="00DB1D6F">
        <w:t>formado pela</w:t>
      </w:r>
      <w:r w:rsidR="002D2940" w:rsidRPr="00DB1D6F">
        <w:t xml:space="preserve"> tesouraria, contabilidade e auditoria da SEFAZ, </w:t>
      </w:r>
      <w:r w:rsidR="004A7C93" w:rsidRPr="00DB1D6F">
        <w:t xml:space="preserve">em reunião realizada em 28 de junho, </w:t>
      </w:r>
      <w:r w:rsidR="002D2940" w:rsidRPr="00DB1D6F">
        <w:t xml:space="preserve">para </w:t>
      </w:r>
      <w:r w:rsidR="007A1B0D" w:rsidRPr="00DB1D6F">
        <w:t>a</w:t>
      </w:r>
      <w:r w:rsidR="000524AA">
        <w:t xml:space="preserve">tender </w:t>
      </w:r>
      <w:r w:rsidR="003B351A">
        <w:t xml:space="preserve">as determinações exaradas pelo Conselheiro </w:t>
      </w:r>
      <w:r w:rsidR="003B351A" w:rsidRPr="003B351A">
        <w:t>José Maurício de Lima Nolasco</w:t>
      </w:r>
      <w:r w:rsidR="003B351A">
        <w:t xml:space="preserve"> em seu voto relativo ao Relatório de Auditoria</w:t>
      </w:r>
      <w:r w:rsidR="002C1812">
        <w:t xml:space="preserve"> Governamental</w:t>
      </w:r>
      <w:r w:rsidR="004A7C93" w:rsidRPr="00DB1D6F">
        <w:t>, com prazo de 30 dias</w:t>
      </w:r>
      <w:r w:rsidR="00375642" w:rsidRPr="00DB1D6F">
        <w:t>,</w:t>
      </w:r>
      <w:r w:rsidR="004A7C93" w:rsidRPr="00DB1D6F">
        <w:t xml:space="preserve"> prorrog</w:t>
      </w:r>
      <w:r w:rsidR="003B351A">
        <w:t>ável</w:t>
      </w:r>
      <w:r w:rsidR="004A7C93" w:rsidRPr="00DB1D6F">
        <w:t xml:space="preserve"> por igual período para que apresentem uma resposta</w:t>
      </w:r>
      <w:r w:rsidR="002D2940" w:rsidRPr="00DB1D6F">
        <w:t xml:space="preserve">. </w:t>
      </w:r>
      <w:r w:rsidR="00446DAB" w:rsidRPr="00DB1D6F">
        <w:t>Confirmou</w:t>
      </w:r>
      <w:r w:rsidR="007A1B0D" w:rsidRPr="00DB1D6F">
        <w:t xml:space="preserve"> ainda, que foi encaminhado ao TCE – RJ, ofício para ciência das medidas adotadas.</w:t>
      </w:r>
    </w:p>
    <w:p w:rsidR="00010835" w:rsidRPr="00DB1D6F" w:rsidRDefault="007A1B0D" w:rsidP="00E06832">
      <w:pPr>
        <w:spacing w:before="100" w:beforeAutospacing="1" w:after="100" w:afterAutospacing="1"/>
        <w:rPr>
          <w:rStyle w:val="textopreto12px"/>
        </w:rPr>
      </w:pPr>
      <w:r w:rsidRPr="00DB1D6F">
        <w:rPr>
          <w:rFonts w:cs="Arial"/>
        </w:rPr>
        <w:t xml:space="preserve">Próximo assunto em discussão foi o </w:t>
      </w:r>
      <w:r w:rsidR="0081743D" w:rsidRPr="00DB1D6F">
        <w:rPr>
          <w:rFonts w:cs="Arial"/>
          <w:b/>
        </w:rPr>
        <w:t>PROGRAMA ESPECIAL</w:t>
      </w:r>
      <w:r w:rsidR="002C1812">
        <w:rPr>
          <w:rFonts w:cs="Arial"/>
          <w:b/>
        </w:rPr>
        <w:t xml:space="preserve"> </w:t>
      </w:r>
      <w:r w:rsidR="0081743D" w:rsidRPr="00DB1D6F">
        <w:rPr>
          <w:rFonts w:cs="Arial"/>
          <w:b/>
        </w:rPr>
        <w:t>DE RECUPERAÇÃO</w:t>
      </w:r>
      <w:r w:rsidR="002C1812">
        <w:rPr>
          <w:rFonts w:cs="Arial"/>
          <w:b/>
        </w:rPr>
        <w:t xml:space="preserve"> </w:t>
      </w:r>
      <w:r w:rsidR="0081743D" w:rsidRPr="00DB1D6F">
        <w:rPr>
          <w:rFonts w:cs="Arial"/>
          <w:b/>
        </w:rPr>
        <w:t>DA REDE FÍSICA</w:t>
      </w:r>
      <w:r w:rsidR="00E06832" w:rsidRPr="00DB1D6F">
        <w:rPr>
          <w:rFonts w:cs="Arial"/>
        </w:rPr>
        <w:t>,</w:t>
      </w:r>
      <w:r w:rsidR="002C1812">
        <w:rPr>
          <w:rFonts w:cs="Arial"/>
        </w:rPr>
        <w:t xml:space="preserve"> </w:t>
      </w:r>
      <w:r w:rsidR="0081743D" w:rsidRPr="00DB1D6F">
        <w:rPr>
          <w:rFonts w:cs="Arial"/>
        </w:rPr>
        <w:t xml:space="preserve">o </w:t>
      </w:r>
      <w:r w:rsidR="00246A2B" w:rsidRPr="00DB1D6F">
        <w:rPr>
          <w:rFonts w:cs="Arial"/>
        </w:rPr>
        <w:t>Conselheiro Alexandre esclareceu os pontos referente</w:t>
      </w:r>
      <w:r w:rsidR="003B351A">
        <w:rPr>
          <w:rFonts w:cs="Arial"/>
        </w:rPr>
        <w:t>a</w:t>
      </w:r>
      <w:bookmarkStart w:id="0" w:name="_GoBack"/>
      <w:bookmarkEnd w:id="0"/>
      <w:r w:rsidR="00246A2B" w:rsidRPr="00DB1D6F">
        <w:rPr>
          <w:rFonts w:cs="Arial"/>
        </w:rPr>
        <w:t xml:space="preserve"> ao assunto como </w:t>
      </w:r>
      <w:r w:rsidR="005E6D92" w:rsidRPr="00DB1D6F">
        <w:rPr>
          <w:rStyle w:val="textopreto12px"/>
        </w:rPr>
        <w:t xml:space="preserve">a operacionalização do plano integrado </w:t>
      </w:r>
      <w:r w:rsidR="00246A2B" w:rsidRPr="00DB1D6F">
        <w:rPr>
          <w:rStyle w:val="textopreto12px"/>
        </w:rPr>
        <w:t>com a EMOP</w:t>
      </w:r>
      <w:r w:rsidR="002C1812">
        <w:rPr>
          <w:rStyle w:val="textopreto12px"/>
        </w:rPr>
        <w:t xml:space="preserve"> </w:t>
      </w:r>
      <w:r w:rsidR="00246A2B" w:rsidRPr="00DB1D6F">
        <w:rPr>
          <w:rStyle w:val="textopreto12px"/>
        </w:rPr>
        <w:t>para a</w:t>
      </w:r>
      <w:r w:rsidR="005E6D92" w:rsidRPr="00DB1D6F">
        <w:rPr>
          <w:rStyle w:val="textopreto12px"/>
        </w:rPr>
        <w:t xml:space="preserve"> melhoria </w:t>
      </w:r>
      <w:r w:rsidR="00466353" w:rsidRPr="00DB1D6F">
        <w:rPr>
          <w:rStyle w:val="textopreto12px"/>
        </w:rPr>
        <w:t xml:space="preserve">das escolas da rede estadual de ensino, segundo o </w:t>
      </w:r>
      <w:r w:rsidR="00466353" w:rsidRPr="00DB1D6F">
        <w:rPr>
          <w:rStyle w:val="textopreto12px"/>
          <w:b/>
        </w:rPr>
        <w:t>IGAI</w:t>
      </w:r>
      <w:r w:rsidR="00466353" w:rsidRPr="00DB1D6F">
        <w:rPr>
          <w:rStyle w:val="textopreto12px"/>
        </w:rPr>
        <w:t xml:space="preserve"> – Índice Ger</w:t>
      </w:r>
      <w:r w:rsidR="00ED55A5">
        <w:rPr>
          <w:rStyle w:val="textopreto12px"/>
        </w:rPr>
        <w:t>encial de Avaliação do Imóvel e distribuiu ao Conselho cópia do mesmo das escolas elencadas nos dois Programas.</w:t>
      </w:r>
    </w:p>
    <w:p w:rsidR="00466353" w:rsidRPr="00DB1D6F" w:rsidRDefault="00A61F7D" w:rsidP="00E06832">
      <w:pPr>
        <w:spacing w:before="100" w:beforeAutospacing="1" w:after="100" w:afterAutospacing="1"/>
        <w:rPr>
          <w:rStyle w:val="textopreto12px"/>
        </w:rPr>
      </w:pPr>
      <w:r w:rsidRPr="00DB1D6F">
        <w:rPr>
          <w:rStyle w:val="textopreto12px"/>
        </w:rPr>
        <w:lastRenderedPageBreak/>
        <w:t>Falou ainda, sobre</w:t>
      </w:r>
      <w:r w:rsidR="002C1812">
        <w:rPr>
          <w:rStyle w:val="textopreto12px"/>
        </w:rPr>
        <w:t xml:space="preserve"> o</w:t>
      </w:r>
      <w:r w:rsidRPr="00DB1D6F">
        <w:rPr>
          <w:rStyle w:val="textopreto12px"/>
        </w:rPr>
        <w:t xml:space="preserve"> cronograma </w:t>
      </w:r>
      <w:r w:rsidR="003F1775" w:rsidRPr="00DB1D6F">
        <w:rPr>
          <w:rStyle w:val="textopreto12px"/>
        </w:rPr>
        <w:t>para acompanhar o</w:t>
      </w:r>
      <w:r w:rsidR="00010835" w:rsidRPr="00DB1D6F">
        <w:rPr>
          <w:rStyle w:val="textopreto12px"/>
        </w:rPr>
        <w:t xml:space="preserve"> Programa </w:t>
      </w:r>
      <w:r w:rsidR="003F1775" w:rsidRPr="00DB1D6F">
        <w:rPr>
          <w:rStyle w:val="textopreto12px"/>
        </w:rPr>
        <w:t>de recuperaçãod</w:t>
      </w:r>
      <w:r w:rsidR="00010835" w:rsidRPr="00DB1D6F">
        <w:rPr>
          <w:rStyle w:val="textopreto12px"/>
        </w:rPr>
        <w:t>os prédios das unidades escolares, considerando</w:t>
      </w:r>
      <w:r w:rsidRPr="00DB1D6F">
        <w:rPr>
          <w:rStyle w:val="textopreto12px"/>
        </w:rPr>
        <w:t xml:space="preserve"> as etapas </w:t>
      </w:r>
      <w:r w:rsidR="00010835" w:rsidRPr="00DB1D6F">
        <w:rPr>
          <w:rStyle w:val="textopreto12px"/>
        </w:rPr>
        <w:t>indispensáveis até chegar execução das obras. E</w:t>
      </w:r>
      <w:r w:rsidR="003F1775" w:rsidRPr="00DB1D6F">
        <w:rPr>
          <w:rStyle w:val="textopreto12px"/>
        </w:rPr>
        <w:t>le</w:t>
      </w:r>
      <w:r w:rsidR="00010835" w:rsidRPr="00DB1D6F">
        <w:rPr>
          <w:rStyle w:val="textopreto12px"/>
        </w:rPr>
        <w:t xml:space="preserve"> informou que </w:t>
      </w:r>
      <w:r w:rsidR="00DB138A" w:rsidRPr="00DB1D6F">
        <w:rPr>
          <w:rStyle w:val="textopreto12px"/>
        </w:rPr>
        <w:t xml:space="preserve">esses dados são gerados pela </w:t>
      </w:r>
      <w:r w:rsidR="00010835" w:rsidRPr="00DB1D6F">
        <w:rPr>
          <w:rStyle w:val="textopreto12px"/>
        </w:rPr>
        <w:t xml:space="preserve">EMOP </w:t>
      </w:r>
      <w:r w:rsidR="003F1775" w:rsidRPr="00DB1D6F">
        <w:rPr>
          <w:rStyle w:val="textopreto12px"/>
        </w:rPr>
        <w:t xml:space="preserve">e que a mesma </w:t>
      </w:r>
      <w:r w:rsidR="00010835" w:rsidRPr="00DB1D6F">
        <w:rPr>
          <w:rStyle w:val="textopreto12px"/>
        </w:rPr>
        <w:t>não forneceu o referido cronograma para ser acompanhado pelos Conselheiros, como foi sugerido na reunião com o Ministério Público Estadual.</w:t>
      </w:r>
      <w:r w:rsidR="00DB138A" w:rsidRPr="00DB1D6F">
        <w:rPr>
          <w:rStyle w:val="textopreto12px"/>
        </w:rPr>
        <w:t xml:space="preserve"> O Presidente alertou que a SEEDUC terá que </w:t>
      </w:r>
      <w:r w:rsidR="008F11E1" w:rsidRPr="00DB1D6F">
        <w:rPr>
          <w:rStyle w:val="textopreto12px"/>
        </w:rPr>
        <w:t xml:space="preserve">se </w:t>
      </w:r>
      <w:r w:rsidR="00DB138A" w:rsidRPr="00DB1D6F">
        <w:rPr>
          <w:rStyle w:val="textopreto12px"/>
        </w:rPr>
        <w:t>pronunciar sobre o assunto ao Tribunal de Contas e ao FNDE.</w:t>
      </w:r>
      <w:r w:rsidR="002C1812">
        <w:rPr>
          <w:rStyle w:val="textopreto12px"/>
        </w:rPr>
        <w:t xml:space="preserve"> O Conselheiro Alexandre informou, então, que a SEEDUC já encaminhou um esclarecimento sobre o assunto ao Tribunal de Contas da União – TCU, ficando de enviar uma cópia do mesmo ao Conselho.</w:t>
      </w:r>
    </w:p>
    <w:p w:rsidR="00054625" w:rsidRDefault="003F1775" w:rsidP="003F1775">
      <w:pPr>
        <w:spacing w:before="100" w:beforeAutospacing="1" w:after="100" w:afterAutospacing="1"/>
        <w:rPr>
          <w:rStyle w:val="textopreto12px"/>
        </w:rPr>
      </w:pPr>
      <w:r w:rsidRPr="00DB1D6F">
        <w:t xml:space="preserve">Prosseguindo, o senhor presidente </w:t>
      </w:r>
      <w:r w:rsidR="003D5A45">
        <w:t>relatou aos presentes a</w:t>
      </w:r>
      <w:r w:rsidR="004657B2" w:rsidRPr="00DB1D6F">
        <w:t xml:space="preserve"> </w:t>
      </w:r>
      <w:r w:rsidRPr="00DB1D6F">
        <w:t>reunião</w:t>
      </w:r>
      <w:r w:rsidR="004657B2" w:rsidRPr="00DB1D6F">
        <w:t xml:space="preserve"> com </w:t>
      </w:r>
      <w:r w:rsidRPr="00DB1D6F">
        <w:t>o Ministério Público</w:t>
      </w:r>
      <w:r w:rsidR="004657B2" w:rsidRPr="00DB1D6F">
        <w:t xml:space="preserve">, </w:t>
      </w:r>
      <w:r w:rsidR="003D5A45">
        <w:t xml:space="preserve">realizada </w:t>
      </w:r>
      <w:r w:rsidR="004657B2" w:rsidRPr="00DB1D6F">
        <w:t xml:space="preserve">no dia </w:t>
      </w:r>
      <w:r w:rsidR="008F11E1" w:rsidRPr="00DB1D6F">
        <w:t>14 de junho</w:t>
      </w:r>
      <w:r w:rsidR="003D5A45">
        <w:t xml:space="preserve">. </w:t>
      </w:r>
      <w:r w:rsidR="003D5A45">
        <w:rPr>
          <w:rStyle w:val="textopreto12px"/>
        </w:rPr>
        <w:t xml:space="preserve">Nesta ocasião, </w:t>
      </w:r>
      <w:r w:rsidRPr="00DB1D6F">
        <w:rPr>
          <w:rStyle w:val="textopreto12px"/>
        </w:rPr>
        <w:t xml:space="preserve">o Promotor sugeriu que </w:t>
      </w:r>
      <w:r w:rsidR="003D5A45">
        <w:rPr>
          <w:rStyle w:val="textopreto12px"/>
        </w:rPr>
        <w:t>fosse sanado o problema da ausência repetida de alguns</w:t>
      </w:r>
      <w:r w:rsidRPr="00DB1D6F">
        <w:rPr>
          <w:rStyle w:val="textopreto12px"/>
        </w:rPr>
        <w:t xml:space="preserve"> Conselheiros</w:t>
      </w:r>
      <w:r w:rsidR="003D5A45">
        <w:rPr>
          <w:rStyle w:val="textopreto12px"/>
        </w:rPr>
        <w:t xml:space="preserve">, através do contato com estes ou, se fosse o caso, mediante a substituição dos mesmos pelos </w:t>
      </w:r>
      <w:r w:rsidRPr="00DB1D6F">
        <w:rPr>
          <w:rStyle w:val="textopreto12px"/>
        </w:rPr>
        <w:t xml:space="preserve">segmentos </w:t>
      </w:r>
      <w:r w:rsidR="003D5A45">
        <w:rPr>
          <w:rStyle w:val="textopreto12px"/>
        </w:rPr>
        <w:t xml:space="preserve">por eles representados </w:t>
      </w:r>
      <w:r w:rsidRPr="00DB1D6F">
        <w:rPr>
          <w:rStyle w:val="textopreto12px"/>
        </w:rPr>
        <w:t xml:space="preserve">no Conselho. </w:t>
      </w:r>
    </w:p>
    <w:p w:rsidR="003D5A45" w:rsidRPr="00DB1D6F" w:rsidRDefault="003D5A45" w:rsidP="003F1775">
      <w:pPr>
        <w:spacing w:before="100" w:beforeAutospacing="1" w:after="100" w:afterAutospacing="1"/>
        <w:rPr>
          <w:rStyle w:val="textopreto12px"/>
        </w:rPr>
      </w:pPr>
      <w:r>
        <w:rPr>
          <w:rStyle w:val="textopreto12px"/>
        </w:rPr>
        <w:t xml:space="preserve">O Presidente ponderou que, pelo Art. 14 do Regimento Interno, transcrito a seguir, a perda do mandato é automática e, neste contexto, seria necessário pedir a substituição imediata dos Conselheiros faltosos aos segmentos representados. Lembrou, ainda, que este foi o procedimento adotado pela gestão anterior que não logrou êxito nesta substituição, persistindo o problema da falta de representatividade.   </w:t>
      </w:r>
    </w:p>
    <w:p w:rsidR="00054625" w:rsidRPr="00DB1D6F" w:rsidRDefault="00054625" w:rsidP="003D5A45">
      <w:pPr>
        <w:spacing w:before="100" w:beforeAutospacing="1" w:after="100" w:afterAutospacing="1"/>
        <w:jc w:val="left"/>
        <w:rPr>
          <w:rStyle w:val="textopreto12px"/>
        </w:rPr>
      </w:pPr>
      <w:r w:rsidRPr="00DB1D6F">
        <w:rPr>
          <w:rStyle w:val="textopreto12px"/>
        </w:rPr>
        <w:t>“</w:t>
      </w:r>
      <w:r w:rsidRPr="00DB1D6F">
        <w:rPr>
          <w:rStyle w:val="textopreto12px"/>
          <w:b/>
        </w:rPr>
        <w:t>Perderá o mandato o membro do Conselho que faltar a três reuniões consecutivas ou a quatro intercaladas durante o ano</w:t>
      </w:r>
      <w:r w:rsidRPr="00DB1D6F">
        <w:rPr>
          <w:rStyle w:val="textopreto12px"/>
        </w:rPr>
        <w:t>”.</w:t>
      </w:r>
    </w:p>
    <w:p w:rsidR="003F1775" w:rsidRPr="00DB1D6F" w:rsidRDefault="003D5A45" w:rsidP="003F1775">
      <w:pPr>
        <w:spacing w:before="100" w:beforeAutospacing="1" w:after="100" w:afterAutospacing="1"/>
        <w:rPr>
          <w:rStyle w:val="textopreto12px"/>
        </w:rPr>
      </w:pPr>
      <w:r>
        <w:t xml:space="preserve">Diante deste quadro, o Presidente coloca em votação a Deliberação N.º 001/2012 que dá maior flexibilidade ao Conselho para tratar do problema. Sendo aprovada por unanimidade, a Deliberação passa a integrar </w:t>
      </w:r>
      <w:proofErr w:type="gramStart"/>
      <w:r>
        <w:t>a presente</w:t>
      </w:r>
      <w:proofErr w:type="gramEnd"/>
      <w:r>
        <w:t xml:space="preserve"> Ata.</w:t>
      </w:r>
    </w:p>
    <w:p w:rsidR="00DE0139" w:rsidRPr="00DB1D6F" w:rsidRDefault="003D5A45" w:rsidP="003F1775">
      <w:pPr>
        <w:spacing w:before="100" w:beforeAutospacing="1" w:after="100" w:afterAutospacing="1"/>
        <w:rPr>
          <w:rStyle w:val="textopreto12px"/>
        </w:rPr>
      </w:pPr>
      <w:r>
        <w:rPr>
          <w:rStyle w:val="textopreto12px"/>
        </w:rPr>
        <w:t>Por último, o</w:t>
      </w:r>
      <w:r w:rsidR="004A4333" w:rsidRPr="00DB1D6F">
        <w:rPr>
          <w:rStyle w:val="textopreto12px"/>
        </w:rPr>
        <w:t xml:space="preserve"> Presidente falou </w:t>
      </w:r>
      <w:r w:rsidR="00375642" w:rsidRPr="00DB1D6F">
        <w:rPr>
          <w:rStyle w:val="textopreto12px"/>
        </w:rPr>
        <w:t xml:space="preserve">ainda, </w:t>
      </w:r>
      <w:r w:rsidR="004A4333" w:rsidRPr="00DB1D6F">
        <w:rPr>
          <w:rStyle w:val="textopreto12px"/>
        </w:rPr>
        <w:t xml:space="preserve">que </w:t>
      </w:r>
      <w:r>
        <w:rPr>
          <w:rStyle w:val="textopreto12px"/>
        </w:rPr>
        <w:t>está mantendo contato com os Conselheiros e os segmentos para haver a retomada da representação destes no Conselho</w:t>
      </w:r>
      <w:r w:rsidR="00422DE8" w:rsidRPr="00DB1D6F">
        <w:rPr>
          <w:rStyle w:val="textopreto12px"/>
        </w:rPr>
        <w:t>.</w:t>
      </w:r>
    </w:p>
    <w:p w:rsidR="00ED55A5" w:rsidRPr="00DB1D6F" w:rsidRDefault="004657B2" w:rsidP="00ED55A5">
      <w:pPr>
        <w:spacing w:before="100" w:beforeAutospacing="1" w:after="100" w:afterAutospacing="1"/>
      </w:pPr>
      <w:r w:rsidRPr="00DB1D6F">
        <w:t xml:space="preserve">Em seguida passou-se a palavra para o Conselheiro Sergio Mendes, que </w:t>
      </w:r>
      <w:r w:rsidR="00ED55A5">
        <w:t xml:space="preserve">sobre o que foi solicitado à SEEDUC pelo </w:t>
      </w:r>
      <w:r w:rsidR="00ED55A5" w:rsidRPr="00DB1D6F">
        <w:t xml:space="preserve">Promotor da 2ª Promotoria de Justiça de Tutela Coletiva de Proteção à Educação da Capital, </w:t>
      </w:r>
      <w:r w:rsidR="00ED55A5">
        <w:t>ele pode prestar os seguintes esclarecimentos</w:t>
      </w:r>
      <w:r w:rsidR="00ED55A5" w:rsidRPr="00DB1D6F">
        <w:t>:</w:t>
      </w:r>
    </w:p>
    <w:p w:rsidR="00ED55A5" w:rsidRDefault="00ED55A5" w:rsidP="00ED55A5">
      <w:pPr>
        <w:spacing w:line="360" w:lineRule="auto"/>
      </w:pPr>
      <w:r>
        <w:br w:type="page"/>
      </w:r>
      <w:r>
        <w:lastRenderedPageBreak/>
        <w:t>A</w:t>
      </w:r>
      <w:r>
        <w:t xml:space="preserve">s pautas, atas e outros documentos elaborados pelo Conselho já estão disponibilizados em nossa página na internet: </w:t>
      </w:r>
    </w:p>
    <w:p w:rsidR="00ED55A5" w:rsidRDefault="00ED55A5" w:rsidP="00ED55A5">
      <w:pPr>
        <w:spacing w:before="100" w:beforeAutospacing="1" w:after="100" w:afterAutospacing="1"/>
        <w:jc w:val="center"/>
      </w:pPr>
      <w:r>
        <w:t>www.conselhoseducacao.rj.gov.br/fundeb.asp</w:t>
      </w:r>
    </w:p>
    <w:p w:rsidR="00ED55A5" w:rsidRDefault="00ED55A5" w:rsidP="00ED55A5">
      <w:pPr>
        <w:spacing w:before="100" w:beforeAutospacing="1" w:after="100" w:afterAutospacing="1"/>
      </w:pPr>
      <w:r>
        <w:t>C</w:t>
      </w:r>
      <w:r>
        <w:t>om relação à divulgação em áudio das reuniões do CACS FUNDEB, o Conselheiro Sérgio Mendes visitou, conforme orientação do Exmo. Promotor Emiliano Paes, as instalações do MPRJ para verificar o sistema de gravação de áudio e vídeo do Conselho Superior. Após a visita, a equipe técnica de TI do MPRJ enviou as especificações dos equipamentos para análise da SEEDUC.</w:t>
      </w:r>
      <w:r>
        <w:t xml:space="preserve"> </w:t>
      </w:r>
      <w:r>
        <w:t>Após análise, a equipe da SEEDUC concluiu que, no momento, não seria viável a utilização de vídeo e áudio, tendo em vista que a Secretaria teria que investir em equipamentos específicos e capacitar técnicos para operacionalizá-los. Informou ainda, que vai verificar, futuramente, a possibilidade realizar tal captação. Porém, como solução imediata, as ATAS do CONSELHO já estão disponíveis no Site já citado.</w:t>
      </w:r>
    </w:p>
    <w:p w:rsidR="00ED55A5" w:rsidRDefault="00ED55A5" w:rsidP="00ED55A5">
      <w:pPr>
        <w:spacing w:before="100" w:beforeAutospacing="1" w:after="100" w:afterAutospacing="1"/>
      </w:pPr>
      <w:r>
        <w:t>Prosseguindo o Conselheiro informou que o IGAI foi criado ano passado e, em função da dinâmica da rede (enchentes, programas de manutenção, reforma, criação/construção de novas escolas) o indicador publicado pode não guardar relação com a realidade das escolas – defasagem entre o momento da medição e das intervenções. A SE</w:t>
      </w:r>
      <w:r>
        <w:t>EDUC acredita que seja prematura</w:t>
      </w:r>
      <w:r>
        <w:t xml:space="preserve"> tal divulgação em função do descompasso entre a atualização e os cronogramas físico-financeiro das obras. Sugere, desta forma, publicar o gráfico de evolução da </w:t>
      </w:r>
      <w:r>
        <w:t>infra-estrutura</w:t>
      </w:r>
      <w:r>
        <w:t>, explicitando, por categoria o quanto a rede vem avançando (exemplo: variação percentual das escolas classificadas como ótimo, bom, regular, ruim e péssimo). A partir do segundo semestre de 2013, teremos condições de publicar o indicador por escola, pois, a rede já terá recebido mais de R$ 300 milhões de investimento (a logística de reparos, manutenção e construção na rede escolar ficará muito mais tranqüila). Por conseguinte, a atualização dos indicadores será quase que no mesmo tempo dos cronogramas físicos das obras.</w:t>
      </w:r>
    </w:p>
    <w:p w:rsidR="00ED55A5" w:rsidRDefault="00ED55A5" w:rsidP="003F1775">
      <w:pPr>
        <w:spacing w:before="100" w:beforeAutospacing="1" w:after="100" w:afterAutospacing="1"/>
      </w:pPr>
      <w:r>
        <w:t>Retomando a palavra, o Presidente informa que os Programas de Recuperação da Rede Física também foram tratados na reunião com o Ministério Público, daí ter enviado ofício à SEEDUC retomando esta questão. Finalmente, quanto à solicitação do Promotor de Justiça: a aprovação explícita da aplicação de, no mínimo, 60% do FUNDEB com o pagamento de</w:t>
      </w:r>
      <w:r w:rsidRPr="00ED55A5">
        <w:t xml:space="preserve"> profissionais do magistério</w:t>
      </w:r>
      <w:r>
        <w:t xml:space="preserve">, foi dito ao Promotor que este assunto já foi deliberado pelo Conselho, explicitando quais despesas poderão ser classificadas e que o Conselho passará a deixar </w:t>
      </w:r>
      <w:r>
        <w:lastRenderedPageBreak/>
        <w:t>sempre lavrado em Ata, quando da aprovação das contas, que este patamar foi alcançado.</w:t>
      </w:r>
    </w:p>
    <w:p w:rsidR="00260ABD" w:rsidRDefault="00260ABD" w:rsidP="00260ABD">
      <w:pPr>
        <w:spacing w:before="113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DELIBERAÇÃO CACS-FUNDEB/ESTADO DO RIO DE JANEIRO 01/2012</w:t>
      </w:r>
    </w:p>
    <w:p w:rsidR="00260ABD" w:rsidRDefault="00260ABD" w:rsidP="00260ABD">
      <w:pPr>
        <w:spacing w:before="113"/>
        <w:rPr>
          <w:rFonts w:ascii="Arial" w:hAnsi="Arial"/>
          <w:b/>
          <w:bCs/>
          <w:sz w:val="20"/>
          <w:szCs w:val="20"/>
        </w:rPr>
      </w:pPr>
    </w:p>
    <w:p w:rsidR="00260ABD" w:rsidRDefault="00260ABD" w:rsidP="00260ABD">
      <w:pPr>
        <w:spacing w:before="113"/>
        <w:rPr>
          <w:rFonts w:ascii="Arial" w:hAnsi="Arial" w:cs="ArialMT"/>
          <w:b/>
          <w:bCs/>
          <w:sz w:val="20"/>
          <w:szCs w:val="20"/>
        </w:rPr>
      </w:pPr>
      <w:r w:rsidRPr="00831EF2">
        <w:rPr>
          <w:rFonts w:ascii="Times New Roman" w:hAnsi="Times New Roman" w:cs="Calibri"/>
          <w:lang w:eastAsia="ar-SA"/>
        </w:rPr>
        <w:pict>
          <v:shape id="_x0000_s1028" type="#_x0000_t202" style="position:absolute;left:0;text-align:left;margin-left:183.75pt;margin-top:10.95pt;width:239.2pt;height:39.85pt;z-index:251662336;mso-wrap-distance-left:9.05pt;mso-wrap-distance-right:9.05pt" stroked="f">
            <v:fill color2="black"/>
            <v:textbox style="mso-next-textbox:#_x0000_s1028" inset="0,0,0,0">
              <w:txbxContent>
                <w:p w:rsidR="00260ABD" w:rsidRDefault="00260ABD" w:rsidP="00260ABD">
                  <w:r>
                    <w:t>Dispõe sobre o artigo 14 do Regimento Interno e dá outras providências.</w:t>
                  </w:r>
                </w:p>
              </w:txbxContent>
            </v:textbox>
          </v:shape>
        </w:pict>
      </w:r>
    </w:p>
    <w:p w:rsidR="00260ABD" w:rsidRDefault="00260ABD" w:rsidP="00260ABD">
      <w:pPr>
        <w:spacing w:before="113"/>
        <w:rPr>
          <w:rFonts w:ascii="Arial" w:hAnsi="Arial"/>
          <w:b/>
          <w:bCs/>
          <w:sz w:val="20"/>
          <w:szCs w:val="20"/>
        </w:rPr>
      </w:pPr>
    </w:p>
    <w:p w:rsidR="00260ABD" w:rsidRDefault="00260ABD" w:rsidP="00260ABD">
      <w:pPr>
        <w:autoSpaceDE w:val="0"/>
        <w:rPr>
          <w:rFonts w:ascii="ArialMT" w:hAnsi="ArialMT" w:cs="ArialMT"/>
          <w:sz w:val="20"/>
          <w:szCs w:val="20"/>
        </w:rPr>
      </w:pPr>
    </w:p>
    <w:p w:rsidR="00260ABD" w:rsidRDefault="00260ABD" w:rsidP="00260ABD">
      <w:pPr>
        <w:spacing w:before="113"/>
        <w:rPr>
          <w:rFonts w:ascii="Arial" w:hAnsi="Arial"/>
          <w:sz w:val="20"/>
          <w:szCs w:val="20"/>
        </w:rPr>
      </w:pPr>
    </w:p>
    <w:p w:rsidR="00260ABD" w:rsidRDefault="00260ABD" w:rsidP="00260ABD">
      <w:pPr>
        <w:spacing w:before="11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O CONSELHO SOCIAL DO FUNDEB DO ESTADO DO RIO DE JANEIRO</w:t>
      </w:r>
      <w:r>
        <w:rPr>
          <w:rFonts w:ascii="Arial" w:hAnsi="Arial"/>
          <w:sz w:val="20"/>
          <w:szCs w:val="20"/>
        </w:rPr>
        <w:t xml:space="preserve">, no uso de suas competências fundamentadas no artigo 23 do Regimento Interno, de 12 de dezembro de 2009, </w:t>
      </w:r>
    </w:p>
    <w:p w:rsidR="00260ABD" w:rsidRDefault="00260ABD" w:rsidP="00260ABD">
      <w:pPr>
        <w:spacing w:before="113"/>
        <w:rPr>
          <w:rFonts w:ascii="ArialMT" w:hAnsi="ArialMT" w:cs="ArialMT"/>
          <w:sz w:val="22"/>
          <w:szCs w:val="22"/>
        </w:rPr>
      </w:pPr>
    </w:p>
    <w:p w:rsidR="00260ABD" w:rsidRDefault="00260ABD" w:rsidP="00260ABD">
      <w:pPr>
        <w:spacing w:before="113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DELIBERA:</w:t>
      </w:r>
    </w:p>
    <w:p w:rsidR="00260ABD" w:rsidRDefault="00260ABD" w:rsidP="00260ABD">
      <w:pPr>
        <w:spacing w:before="113"/>
        <w:rPr>
          <w:rFonts w:ascii="Arial" w:hAnsi="Arial"/>
          <w:bCs/>
          <w:sz w:val="20"/>
          <w:szCs w:val="20"/>
        </w:rPr>
      </w:pPr>
    </w:p>
    <w:p w:rsidR="00260ABD" w:rsidRPr="00AD1DA4" w:rsidRDefault="00260ABD" w:rsidP="00260ABD">
      <w:pPr>
        <w:spacing w:before="113"/>
        <w:rPr>
          <w:rFonts w:ascii="Arial" w:hAnsi="Arial"/>
          <w:bCs/>
          <w:sz w:val="20"/>
          <w:szCs w:val="20"/>
        </w:rPr>
      </w:pPr>
      <w:r w:rsidRPr="00AD1DA4">
        <w:rPr>
          <w:rFonts w:ascii="Arial" w:hAnsi="Arial"/>
          <w:bCs/>
          <w:sz w:val="20"/>
          <w:szCs w:val="20"/>
        </w:rPr>
        <w:t>Art. 1º. Ficam</w:t>
      </w:r>
      <w:r>
        <w:rPr>
          <w:rFonts w:ascii="Arial" w:hAnsi="Arial"/>
          <w:bCs/>
          <w:sz w:val="20"/>
          <w:szCs w:val="20"/>
        </w:rPr>
        <w:t xml:space="preserve"> </w:t>
      </w:r>
      <w:r w:rsidRPr="00AD1DA4">
        <w:rPr>
          <w:rFonts w:ascii="Arial" w:hAnsi="Arial"/>
          <w:bCs/>
          <w:sz w:val="20"/>
          <w:szCs w:val="20"/>
        </w:rPr>
        <w:t>garantidos aos Conselheiros que em função do artigo 14 do Regimento Interno perderam seus mandatos, a presença nas Sessões posteriores ao seu afastamento e o direito a voz, no que compete ao segmento representado por ele, desde que não haja nenhum outro representante presente.</w:t>
      </w:r>
    </w:p>
    <w:p w:rsidR="00260ABD" w:rsidRDefault="00260ABD" w:rsidP="00260ABD">
      <w:pPr>
        <w:spacing w:before="120" w:after="120" w:line="360" w:lineRule="auto"/>
        <w:rPr>
          <w:rFonts w:ascii="Arial" w:hAnsi="Arial"/>
          <w:bCs/>
          <w:sz w:val="20"/>
          <w:szCs w:val="20"/>
        </w:rPr>
      </w:pPr>
    </w:p>
    <w:p w:rsidR="00260ABD" w:rsidRPr="00AD1DA4" w:rsidRDefault="00260ABD" w:rsidP="00260ABD">
      <w:pPr>
        <w:spacing w:before="120" w:after="120" w:line="360" w:lineRule="auto"/>
        <w:rPr>
          <w:rFonts w:ascii="Arial" w:hAnsi="Arial"/>
          <w:bCs/>
          <w:sz w:val="20"/>
          <w:szCs w:val="20"/>
        </w:rPr>
      </w:pPr>
      <w:r w:rsidRPr="00AD1DA4">
        <w:rPr>
          <w:rFonts w:ascii="Arial" w:hAnsi="Arial"/>
          <w:bCs/>
          <w:sz w:val="20"/>
          <w:szCs w:val="20"/>
        </w:rPr>
        <w:t>Parágrafo Único. Para os Conselheiros suplentes, os prazos citados no art. 14 do Regimento Interno, passarão a ser contados a partir da primeira Sessão Ordinária após o comunicado formal, pelo Conselho ao órgão competente.</w:t>
      </w:r>
    </w:p>
    <w:p w:rsidR="00260ABD" w:rsidRPr="00AD1DA4" w:rsidRDefault="00260ABD" w:rsidP="00260ABD">
      <w:pPr>
        <w:spacing w:before="113"/>
        <w:rPr>
          <w:rFonts w:ascii="Arial" w:hAnsi="Arial"/>
          <w:bCs/>
          <w:sz w:val="20"/>
          <w:szCs w:val="20"/>
        </w:rPr>
      </w:pPr>
    </w:p>
    <w:p w:rsidR="00260ABD" w:rsidRPr="00AD1DA4" w:rsidRDefault="00260ABD" w:rsidP="00260ABD">
      <w:pPr>
        <w:spacing w:before="113"/>
        <w:rPr>
          <w:rFonts w:ascii="Arial" w:hAnsi="Arial"/>
          <w:sz w:val="20"/>
          <w:szCs w:val="20"/>
        </w:rPr>
      </w:pPr>
      <w:r w:rsidRPr="00AD1DA4">
        <w:rPr>
          <w:rFonts w:ascii="Arial" w:hAnsi="Arial"/>
          <w:bCs/>
          <w:sz w:val="20"/>
          <w:szCs w:val="20"/>
        </w:rPr>
        <w:t>Art. 2º.</w:t>
      </w:r>
      <w:r w:rsidRPr="00AD1DA4">
        <w:rPr>
          <w:rFonts w:ascii="Arial" w:hAnsi="Arial"/>
          <w:sz w:val="20"/>
          <w:szCs w:val="20"/>
        </w:rPr>
        <w:t xml:space="preserve"> Esta Deliberação entra em vigor na data de sua publicação, revogadas as disposições em contrário.</w:t>
      </w:r>
    </w:p>
    <w:p w:rsidR="00260ABD" w:rsidRDefault="00260ABD" w:rsidP="00260ABD">
      <w:pPr>
        <w:rPr>
          <w:sz w:val="20"/>
          <w:szCs w:val="20"/>
        </w:rPr>
      </w:pPr>
    </w:p>
    <w:p w:rsidR="00260ABD" w:rsidRDefault="00260ABD" w:rsidP="00260ABD">
      <w:pPr>
        <w:spacing w:before="113"/>
        <w:rPr>
          <w:rFonts w:ascii="Arial" w:hAnsi="Arial"/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CONCLUSÃO DO PLENÁRIO</w:t>
      </w:r>
    </w:p>
    <w:p w:rsidR="00260ABD" w:rsidRDefault="00260ABD" w:rsidP="00260ABD">
      <w:pPr>
        <w:spacing w:before="11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A presente Deliberação foi aprovada por unanimidade.</w:t>
      </w:r>
    </w:p>
    <w:p w:rsidR="00260ABD" w:rsidRDefault="00260ABD" w:rsidP="00260ABD">
      <w:pPr>
        <w:spacing w:before="11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Rio de Janeiro, em 11 de julho de 2012.</w:t>
      </w:r>
    </w:p>
    <w:p w:rsidR="002D792F" w:rsidRPr="00ED55A5" w:rsidRDefault="00ED55A5" w:rsidP="003F1775">
      <w:pPr>
        <w:spacing w:before="100" w:beforeAutospacing="1" w:after="100" w:afterAutospacing="1"/>
        <w:rPr>
          <w:rFonts w:cs="Arial"/>
        </w:rPr>
      </w:pPr>
      <w:r>
        <w:t xml:space="preserve"> </w:t>
      </w:r>
    </w:p>
    <w:p w:rsidR="004C423A" w:rsidRPr="00DB1D6F" w:rsidRDefault="004C423A" w:rsidP="004C423A">
      <w:r w:rsidRPr="00DB1D6F">
        <w:lastRenderedPageBreak/>
        <w:t xml:space="preserve">Nada mais havendo a tratar, o Senhor Presidente deu por encerrada </w:t>
      </w:r>
      <w:proofErr w:type="gramStart"/>
      <w:r w:rsidRPr="00DB1D6F">
        <w:t>a</w:t>
      </w:r>
      <w:proofErr w:type="gramEnd"/>
      <w:r w:rsidRPr="00DB1D6F">
        <w:t xml:space="preserve"> sessão, lavrou a presente Ata, assinada pelos Conselheiros na folha de presença, em </w:t>
      </w:r>
      <w:proofErr w:type="gramStart"/>
      <w:r w:rsidRPr="00DB1D6F">
        <w:t>anexo</w:t>
      </w:r>
      <w:proofErr w:type="gramEnd"/>
      <w:r w:rsidRPr="00DB1D6F">
        <w:t>.</w:t>
      </w:r>
    </w:p>
    <w:p w:rsidR="0028291E" w:rsidRPr="00DB1D6F" w:rsidRDefault="0028291E" w:rsidP="002D19FF"/>
    <w:p w:rsidR="00430B0D" w:rsidRPr="00DB1D6F" w:rsidRDefault="00430B0D" w:rsidP="00A72C38">
      <w:pPr>
        <w:pStyle w:val="SemEspaamento"/>
        <w:jc w:val="right"/>
        <w:rPr>
          <w:rFonts w:ascii="Book Antiqua" w:hAnsi="Book Antiqua"/>
          <w:i/>
          <w:sz w:val="24"/>
          <w:szCs w:val="24"/>
        </w:rPr>
      </w:pPr>
      <w:r w:rsidRPr="00DB1D6F">
        <w:rPr>
          <w:rFonts w:ascii="Book Antiqua" w:hAnsi="Book Antiqua"/>
          <w:sz w:val="24"/>
          <w:szCs w:val="24"/>
        </w:rPr>
        <w:t xml:space="preserve">Rio de Janeiro, </w:t>
      </w:r>
      <w:r w:rsidR="00B47BC7" w:rsidRPr="00DB1D6F">
        <w:rPr>
          <w:rFonts w:ascii="Book Antiqua" w:hAnsi="Book Antiqua"/>
          <w:sz w:val="24"/>
          <w:szCs w:val="24"/>
        </w:rPr>
        <w:t>11</w:t>
      </w:r>
      <w:r w:rsidR="00A72C38" w:rsidRPr="00DB1D6F">
        <w:rPr>
          <w:rFonts w:ascii="Book Antiqua" w:hAnsi="Book Antiqua"/>
          <w:sz w:val="24"/>
          <w:szCs w:val="24"/>
        </w:rPr>
        <w:t xml:space="preserve"> de </w:t>
      </w:r>
      <w:r w:rsidR="00B47BC7" w:rsidRPr="00DB1D6F">
        <w:rPr>
          <w:rFonts w:ascii="Book Antiqua" w:hAnsi="Book Antiqua"/>
          <w:sz w:val="24"/>
          <w:szCs w:val="24"/>
        </w:rPr>
        <w:t>julho</w:t>
      </w:r>
      <w:r w:rsidR="00A72C38" w:rsidRPr="00DB1D6F">
        <w:rPr>
          <w:rFonts w:ascii="Book Antiqua" w:hAnsi="Book Antiqua"/>
          <w:sz w:val="24"/>
          <w:szCs w:val="24"/>
        </w:rPr>
        <w:t xml:space="preserve"> de 2012</w:t>
      </w:r>
    </w:p>
    <w:p w:rsidR="004C423A" w:rsidRPr="00DB1D6F" w:rsidRDefault="004C423A" w:rsidP="00430B0D">
      <w:pPr>
        <w:pStyle w:val="SemEspaamento"/>
        <w:rPr>
          <w:rFonts w:ascii="Book Antiqua" w:hAnsi="Book Antiqua"/>
          <w:i/>
          <w:sz w:val="24"/>
          <w:szCs w:val="24"/>
        </w:rPr>
      </w:pPr>
    </w:p>
    <w:p w:rsidR="004C423A" w:rsidRPr="00DB1D6F" w:rsidRDefault="004C423A" w:rsidP="00430B0D">
      <w:pPr>
        <w:pStyle w:val="SemEspaamento"/>
        <w:rPr>
          <w:rFonts w:ascii="Book Antiqua" w:hAnsi="Book Antiqua"/>
          <w:i/>
          <w:sz w:val="24"/>
          <w:szCs w:val="24"/>
        </w:rPr>
      </w:pPr>
    </w:p>
    <w:p w:rsidR="00430B0D" w:rsidRPr="00DB1D6F" w:rsidRDefault="00430B0D" w:rsidP="00430B0D">
      <w:pPr>
        <w:pStyle w:val="SemEspaamento"/>
        <w:rPr>
          <w:rFonts w:ascii="Book Antiqua" w:hAnsi="Book Antiqua"/>
          <w:sz w:val="24"/>
          <w:szCs w:val="24"/>
        </w:rPr>
      </w:pPr>
    </w:p>
    <w:p w:rsidR="00430B0D" w:rsidRPr="00DB1D6F" w:rsidRDefault="00430B0D" w:rsidP="00430B0D">
      <w:pPr>
        <w:pStyle w:val="SemEspaamento"/>
        <w:rPr>
          <w:rFonts w:ascii="Book Antiqua" w:hAnsi="Book Antiqua"/>
          <w:sz w:val="24"/>
          <w:szCs w:val="24"/>
        </w:rPr>
      </w:pPr>
      <w:r w:rsidRPr="00DB1D6F">
        <w:rPr>
          <w:rFonts w:ascii="Book Antiqua" w:hAnsi="Book Antiqua"/>
          <w:sz w:val="24"/>
          <w:szCs w:val="24"/>
        </w:rPr>
        <w:t xml:space="preserve">Marco Antonio Rosa Silva    </w:t>
      </w:r>
      <w:r w:rsidRPr="00DB1D6F">
        <w:rPr>
          <w:rFonts w:ascii="Book Antiqua" w:hAnsi="Book Antiqua"/>
          <w:sz w:val="24"/>
          <w:szCs w:val="24"/>
        </w:rPr>
        <w:tab/>
      </w:r>
      <w:r w:rsidRPr="00DB1D6F">
        <w:rPr>
          <w:rFonts w:ascii="Book Antiqua" w:hAnsi="Book Antiqua"/>
          <w:sz w:val="24"/>
          <w:szCs w:val="24"/>
        </w:rPr>
        <w:tab/>
      </w:r>
      <w:r w:rsidRPr="00DB1D6F">
        <w:rPr>
          <w:rFonts w:ascii="Book Antiqua" w:hAnsi="Book Antiqua"/>
          <w:sz w:val="24"/>
          <w:szCs w:val="24"/>
        </w:rPr>
        <w:tab/>
        <w:t xml:space="preserve">          Rita Maria C. Guimarães                                                               </w:t>
      </w:r>
    </w:p>
    <w:p w:rsidR="00430B0D" w:rsidRPr="00DB1D6F" w:rsidRDefault="00430B0D" w:rsidP="00430B0D">
      <w:pPr>
        <w:pStyle w:val="SemEspaamento"/>
        <w:rPr>
          <w:rFonts w:ascii="Book Antiqua" w:hAnsi="Book Antiqua"/>
          <w:sz w:val="24"/>
          <w:szCs w:val="24"/>
        </w:rPr>
      </w:pPr>
      <w:r w:rsidRPr="00DB1D6F">
        <w:rPr>
          <w:rFonts w:ascii="Book Antiqua" w:hAnsi="Book Antiqua"/>
          <w:sz w:val="24"/>
          <w:szCs w:val="24"/>
        </w:rPr>
        <w:t xml:space="preserve">    Presidente                                                                         Secretária</w:t>
      </w:r>
    </w:p>
    <w:p w:rsidR="00430B0D" w:rsidRPr="00DB1D6F" w:rsidRDefault="00430B0D" w:rsidP="00430B0D">
      <w:pPr>
        <w:rPr>
          <w:rFonts w:cs="Arial"/>
        </w:rPr>
      </w:pPr>
    </w:p>
    <w:p w:rsidR="00430B0D" w:rsidRPr="00DB1D6F" w:rsidRDefault="00430B0D" w:rsidP="00430B0D"/>
    <w:sectPr w:rsidR="00430B0D" w:rsidRPr="00DB1D6F" w:rsidSect="00B4656C">
      <w:pgSz w:w="11906" w:h="16838"/>
      <w:pgMar w:top="1701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277" w:rsidRDefault="00C72277" w:rsidP="00010835">
      <w:pPr>
        <w:spacing w:after="0" w:line="240" w:lineRule="auto"/>
      </w:pPr>
      <w:r>
        <w:separator/>
      </w:r>
    </w:p>
  </w:endnote>
  <w:endnote w:type="continuationSeparator" w:id="1">
    <w:p w:rsidR="00C72277" w:rsidRDefault="00C72277" w:rsidP="0001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277" w:rsidRDefault="00C72277" w:rsidP="00010835">
      <w:pPr>
        <w:spacing w:after="0" w:line="240" w:lineRule="auto"/>
      </w:pPr>
      <w:r>
        <w:separator/>
      </w:r>
    </w:p>
  </w:footnote>
  <w:footnote w:type="continuationSeparator" w:id="1">
    <w:p w:rsidR="00C72277" w:rsidRDefault="00C72277" w:rsidP="00010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B0D"/>
    <w:rsid w:val="00004476"/>
    <w:rsid w:val="000044BD"/>
    <w:rsid w:val="00010835"/>
    <w:rsid w:val="00025F65"/>
    <w:rsid w:val="000524AA"/>
    <w:rsid w:val="00054625"/>
    <w:rsid w:val="000A07E2"/>
    <w:rsid w:val="000B7847"/>
    <w:rsid w:val="000C1CD1"/>
    <w:rsid w:val="000D50DC"/>
    <w:rsid w:val="001030BE"/>
    <w:rsid w:val="00132738"/>
    <w:rsid w:val="001433E8"/>
    <w:rsid w:val="0014567D"/>
    <w:rsid w:val="001B29AB"/>
    <w:rsid w:val="001C479A"/>
    <w:rsid w:val="001E199B"/>
    <w:rsid w:val="001E1A78"/>
    <w:rsid w:val="001E4882"/>
    <w:rsid w:val="001E6C71"/>
    <w:rsid w:val="001F4CEA"/>
    <w:rsid w:val="00205E93"/>
    <w:rsid w:val="002167C9"/>
    <w:rsid w:val="00246A2B"/>
    <w:rsid w:val="00256110"/>
    <w:rsid w:val="00260ABD"/>
    <w:rsid w:val="0028291E"/>
    <w:rsid w:val="002922E1"/>
    <w:rsid w:val="00294BCD"/>
    <w:rsid w:val="00296F44"/>
    <w:rsid w:val="002B70E7"/>
    <w:rsid w:val="002C1812"/>
    <w:rsid w:val="002C6D15"/>
    <w:rsid w:val="002D19FF"/>
    <w:rsid w:val="002D2940"/>
    <w:rsid w:val="002D792F"/>
    <w:rsid w:val="00304C39"/>
    <w:rsid w:val="00311454"/>
    <w:rsid w:val="00317618"/>
    <w:rsid w:val="0032404C"/>
    <w:rsid w:val="00324C82"/>
    <w:rsid w:val="003674CF"/>
    <w:rsid w:val="00375642"/>
    <w:rsid w:val="003949C8"/>
    <w:rsid w:val="003B351A"/>
    <w:rsid w:val="003C3A09"/>
    <w:rsid w:val="003C7833"/>
    <w:rsid w:val="003D5A45"/>
    <w:rsid w:val="003E248F"/>
    <w:rsid w:val="003F1775"/>
    <w:rsid w:val="003F4812"/>
    <w:rsid w:val="00417E54"/>
    <w:rsid w:val="00422DE8"/>
    <w:rsid w:val="00430117"/>
    <w:rsid w:val="00430B0D"/>
    <w:rsid w:val="00446DAB"/>
    <w:rsid w:val="00453EF9"/>
    <w:rsid w:val="00456BDB"/>
    <w:rsid w:val="004657B2"/>
    <w:rsid w:val="00466353"/>
    <w:rsid w:val="004723F0"/>
    <w:rsid w:val="00477B9D"/>
    <w:rsid w:val="00482B85"/>
    <w:rsid w:val="004864A0"/>
    <w:rsid w:val="0048789B"/>
    <w:rsid w:val="004922BC"/>
    <w:rsid w:val="004A4333"/>
    <w:rsid w:val="004A7C93"/>
    <w:rsid w:val="004B4828"/>
    <w:rsid w:val="004C423A"/>
    <w:rsid w:val="004D6CCF"/>
    <w:rsid w:val="004E4298"/>
    <w:rsid w:val="004E6D4C"/>
    <w:rsid w:val="00510154"/>
    <w:rsid w:val="00537A91"/>
    <w:rsid w:val="00564ED4"/>
    <w:rsid w:val="005706D8"/>
    <w:rsid w:val="005801D9"/>
    <w:rsid w:val="0059384C"/>
    <w:rsid w:val="005966D6"/>
    <w:rsid w:val="005B7DB0"/>
    <w:rsid w:val="005D25A0"/>
    <w:rsid w:val="005E4781"/>
    <w:rsid w:val="005E6D92"/>
    <w:rsid w:val="006073D5"/>
    <w:rsid w:val="00607B80"/>
    <w:rsid w:val="006569EE"/>
    <w:rsid w:val="00671486"/>
    <w:rsid w:val="00673F89"/>
    <w:rsid w:val="00690B22"/>
    <w:rsid w:val="006E6D82"/>
    <w:rsid w:val="00715DAD"/>
    <w:rsid w:val="00731198"/>
    <w:rsid w:val="00746E75"/>
    <w:rsid w:val="007A1B0D"/>
    <w:rsid w:val="007A688C"/>
    <w:rsid w:val="007D1F2B"/>
    <w:rsid w:val="007D42F1"/>
    <w:rsid w:val="007F4D45"/>
    <w:rsid w:val="0081743D"/>
    <w:rsid w:val="008176CA"/>
    <w:rsid w:val="0082572E"/>
    <w:rsid w:val="00834C76"/>
    <w:rsid w:val="00840208"/>
    <w:rsid w:val="00851A04"/>
    <w:rsid w:val="008900B4"/>
    <w:rsid w:val="0089071B"/>
    <w:rsid w:val="008A5998"/>
    <w:rsid w:val="008D3889"/>
    <w:rsid w:val="008F11E1"/>
    <w:rsid w:val="00900CB5"/>
    <w:rsid w:val="009049F5"/>
    <w:rsid w:val="00923517"/>
    <w:rsid w:val="00932614"/>
    <w:rsid w:val="009329F3"/>
    <w:rsid w:val="00933A70"/>
    <w:rsid w:val="00940C7A"/>
    <w:rsid w:val="00961925"/>
    <w:rsid w:val="00984251"/>
    <w:rsid w:val="009A4BAC"/>
    <w:rsid w:val="009A6F9C"/>
    <w:rsid w:val="009B692F"/>
    <w:rsid w:val="009D2845"/>
    <w:rsid w:val="009E7798"/>
    <w:rsid w:val="00A045F2"/>
    <w:rsid w:val="00A05099"/>
    <w:rsid w:val="00A06256"/>
    <w:rsid w:val="00A07A81"/>
    <w:rsid w:val="00A3135A"/>
    <w:rsid w:val="00A61F7D"/>
    <w:rsid w:val="00A675FC"/>
    <w:rsid w:val="00A72C38"/>
    <w:rsid w:val="00A753F4"/>
    <w:rsid w:val="00AC292B"/>
    <w:rsid w:val="00AC7641"/>
    <w:rsid w:val="00AD0AF5"/>
    <w:rsid w:val="00B13B07"/>
    <w:rsid w:val="00B34588"/>
    <w:rsid w:val="00B37A2F"/>
    <w:rsid w:val="00B44C1A"/>
    <w:rsid w:val="00B4656C"/>
    <w:rsid w:val="00B47BC7"/>
    <w:rsid w:val="00B540BD"/>
    <w:rsid w:val="00B63F6D"/>
    <w:rsid w:val="00B7179F"/>
    <w:rsid w:val="00BA1AD7"/>
    <w:rsid w:val="00BE4D84"/>
    <w:rsid w:val="00C05823"/>
    <w:rsid w:val="00C11C36"/>
    <w:rsid w:val="00C129F3"/>
    <w:rsid w:val="00C13E36"/>
    <w:rsid w:val="00C16210"/>
    <w:rsid w:val="00C72277"/>
    <w:rsid w:val="00C81D8E"/>
    <w:rsid w:val="00C95561"/>
    <w:rsid w:val="00CB0455"/>
    <w:rsid w:val="00CB0FEB"/>
    <w:rsid w:val="00D143D6"/>
    <w:rsid w:val="00D21606"/>
    <w:rsid w:val="00D30BD8"/>
    <w:rsid w:val="00D90CFC"/>
    <w:rsid w:val="00D93E1A"/>
    <w:rsid w:val="00DA7070"/>
    <w:rsid w:val="00DB138A"/>
    <w:rsid w:val="00DB1D6F"/>
    <w:rsid w:val="00DD6295"/>
    <w:rsid w:val="00DE0139"/>
    <w:rsid w:val="00DF0556"/>
    <w:rsid w:val="00DF7E7A"/>
    <w:rsid w:val="00E06832"/>
    <w:rsid w:val="00E3321C"/>
    <w:rsid w:val="00E3491F"/>
    <w:rsid w:val="00E57290"/>
    <w:rsid w:val="00E631DD"/>
    <w:rsid w:val="00E752C4"/>
    <w:rsid w:val="00EA1B14"/>
    <w:rsid w:val="00ED50DE"/>
    <w:rsid w:val="00ED55A5"/>
    <w:rsid w:val="00ED5889"/>
    <w:rsid w:val="00EF2653"/>
    <w:rsid w:val="00F344C4"/>
    <w:rsid w:val="00F50A0A"/>
    <w:rsid w:val="00F752C0"/>
    <w:rsid w:val="00F76D85"/>
    <w:rsid w:val="00F77B90"/>
    <w:rsid w:val="00F83235"/>
    <w:rsid w:val="00F85FAC"/>
    <w:rsid w:val="00FB50F7"/>
    <w:rsid w:val="00FC5353"/>
    <w:rsid w:val="00FC6FCB"/>
    <w:rsid w:val="00FC7AEC"/>
    <w:rsid w:val="00FE1F17"/>
    <w:rsid w:val="00FF3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0D"/>
    <w:pPr>
      <w:spacing w:line="276" w:lineRule="auto"/>
    </w:pPr>
    <w:rPr>
      <w:rFonts w:ascii="Book Antiqua" w:hAnsi="Book Antiqu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430B0D"/>
    <w:pPr>
      <w:spacing w:after="0" w:line="240" w:lineRule="auto"/>
      <w:jc w:val="left"/>
    </w:pPr>
  </w:style>
  <w:style w:type="paragraph" w:styleId="NormalWeb">
    <w:name w:val="Normal (Web)"/>
    <w:basedOn w:val="Normal"/>
    <w:uiPriority w:val="99"/>
    <w:semiHidden/>
    <w:unhideWhenUsed/>
    <w:rsid w:val="00DF0556"/>
    <w:pPr>
      <w:spacing w:after="0" w:line="240" w:lineRule="auto"/>
      <w:jc w:val="left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ED5889"/>
    <w:rPr>
      <w:color w:val="0000FF" w:themeColor="hyperlink"/>
      <w:u w:val="single"/>
    </w:rPr>
  </w:style>
  <w:style w:type="character" w:customStyle="1" w:styleId="textopreto12px">
    <w:name w:val="textopreto12px"/>
    <w:basedOn w:val="Fontepargpadro"/>
    <w:rsid w:val="005E6D92"/>
  </w:style>
  <w:style w:type="paragraph" w:styleId="Cabealho">
    <w:name w:val="header"/>
    <w:basedOn w:val="Normal"/>
    <w:link w:val="CabealhoChar"/>
    <w:uiPriority w:val="99"/>
    <w:semiHidden/>
    <w:unhideWhenUsed/>
    <w:rsid w:val="00010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0835"/>
    <w:rPr>
      <w:rFonts w:ascii="Book Antiqua" w:hAnsi="Book Antiqua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010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0835"/>
    <w:rPr>
      <w:rFonts w:ascii="Book Antiqua" w:hAnsi="Book Antiqua"/>
      <w:sz w:val="24"/>
      <w:szCs w:val="24"/>
    </w:rPr>
  </w:style>
  <w:style w:type="character" w:customStyle="1" w:styleId="descricao">
    <w:name w:val="descricao"/>
    <w:basedOn w:val="Fontepargpadro"/>
    <w:rsid w:val="00145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B72BD-43D4-4EB5-978F-584E57C6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1673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SEEDUC</Company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rguimaraes</dc:creator>
  <cp:lastModifiedBy>MARCO&amp;LUZIA</cp:lastModifiedBy>
  <cp:revision>6</cp:revision>
  <cp:lastPrinted>2012-07-19T17:32:00Z</cp:lastPrinted>
  <dcterms:created xsi:type="dcterms:W3CDTF">2012-09-06T03:20:00Z</dcterms:created>
  <dcterms:modified xsi:type="dcterms:W3CDTF">2012-09-07T02:30:00Z</dcterms:modified>
</cp:coreProperties>
</file>