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0D" w:rsidRPr="00A410E4" w:rsidRDefault="00BF0E7F" w:rsidP="00430B0D">
      <w:r>
        <w:rPr>
          <w:noProof/>
        </w:rPr>
        <w:pict>
          <v:shapetype id="_x0000_t202" coordsize="21600,21600" o:spt="202" path="m,l,21600r21600,l21600,xe">
            <v:stroke joinstyle="miter"/>
            <v:path gradientshapeok="t" o:connecttype="rect"/>
          </v:shapetype>
          <v:shape id="_x0000_s1026" type="#_x0000_t202" style="position:absolute;left:0;text-align:left;margin-left:230.2pt;margin-top:7.5pt;width:196pt;height:77pt;z-index:251660288" strokecolor="white" strokeweight="1pt">
            <v:stroke dashstyle="dash"/>
            <v:shadow color="#868686"/>
            <v:textbox style="mso-next-textbox:#_x0000_s1026">
              <w:txbxContent>
                <w:p w:rsidR="00430B0D" w:rsidRPr="003A2C9F" w:rsidRDefault="00430B0D" w:rsidP="00430B0D">
                  <w:pPr>
                    <w:pBdr>
                      <w:top w:val="single" w:sz="4" w:space="1" w:color="FFFFFF"/>
                      <w:left w:val="single" w:sz="4" w:space="4" w:color="FFFFFF"/>
                      <w:bottom w:val="single" w:sz="4" w:space="1" w:color="FFFFFF"/>
                      <w:right w:val="single" w:sz="4" w:space="4" w:color="FFFFFF"/>
                    </w:pBdr>
                  </w:pPr>
                  <w:r w:rsidRPr="003A2C9F">
                    <w:rPr>
                      <w:b/>
                      <w:i/>
                    </w:rPr>
                    <w:t>A</w:t>
                  </w:r>
                  <w:r w:rsidRPr="003A2C9F">
                    <w:t xml:space="preserve">ta da </w:t>
                  </w:r>
                  <w:r w:rsidR="00851A04">
                    <w:t>40</w:t>
                  </w:r>
                  <w:r w:rsidR="009D2845">
                    <w:t>ª</w:t>
                  </w:r>
                  <w:r w:rsidRPr="003A2C9F">
                    <w:t xml:space="preserve"> Sessão </w:t>
                  </w:r>
                  <w:r>
                    <w:t xml:space="preserve">Ordinária </w:t>
                  </w:r>
                  <w:r w:rsidRPr="003A2C9F">
                    <w:t xml:space="preserve">do Conselho Social / FUNDEB – Rio de Janeiro, realizada em </w:t>
                  </w:r>
                  <w:r w:rsidR="00851A04">
                    <w:t>11</w:t>
                  </w:r>
                  <w:r w:rsidRPr="003A2C9F">
                    <w:t xml:space="preserve"> de </w:t>
                  </w:r>
                  <w:r w:rsidR="00851A04">
                    <w:t>abril</w:t>
                  </w:r>
                  <w:r w:rsidRPr="003A2C9F">
                    <w:t xml:space="preserve"> de 201</w:t>
                  </w:r>
                  <w:r>
                    <w:t>2</w:t>
                  </w:r>
                  <w:r w:rsidRPr="003A2C9F">
                    <w:t xml:space="preserve">. </w:t>
                  </w:r>
                </w:p>
                <w:p w:rsidR="00430B0D" w:rsidRDefault="00430B0D" w:rsidP="00430B0D">
                  <w:pPr>
                    <w:pBdr>
                      <w:top w:val="single" w:sz="4" w:space="1" w:color="FFFFFF"/>
                      <w:left w:val="single" w:sz="4" w:space="4" w:color="FFFFFF"/>
                      <w:bottom w:val="single" w:sz="4" w:space="1" w:color="FFFFFF"/>
                      <w:right w:val="single" w:sz="4" w:space="4" w:color="FFFFFF"/>
                    </w:pBdr>
                  </w:pPr>
                </w:p>
              </w:txbxContent>
            </v:textbox>
          </v:shape>
        </w:pict>
      </w:r>
    </w:p>
    <w:p w:rsidR="00430B0D" w:rsidRPr="00A410E4" w:rsidRDefault="00430B0D" w:rsidP="00430B0D"/>
    <w:p w:rsidR="00430B0D" w:rsidRDefault="00430B0D" w:rsidP="00430B0D"/>
    <w:p w:rsidR="00430B0D" w:rsidRDefault="00430B0D" w:rsidP="00430B0D">
      <w:pPr>
        <w:pStyle w:val="SemEspaamento"/>
        <w:jc w:val="both"/>
        <w:rPr>
          <w:rFonts w:ascii="Book Antiqua" w:hAnsi="Book Antiqua"/>
          <w:sz w:val="24"/>
          <w:szCs w:val="24"/>
        </w:rPr>
      </w:pPr>
    </w:p>
    <w:p w:rsidR="001F4CEA" w:rsidRDefault="001F4CEA" w:rsidP="00430B0D"/>
    <w:p w:rsidR="00FF3FA6" w:rsidRPr="00711780" w:rsidRDefault="00430B0D" w:rsidP="00430B0D">
      <w:r w:rsidRPr="00711780">
        <w:t xml:space="preserve">Aos </w:t>
      </w:r>
      <w:r w:rsidR="00851A04" w:rsidRPr="00711780">
        <w:t>onze</w:t>
      </w:r>
      <w:r w:rsidR="00A72C38" w:rsidRPr="00711780">
        <w:t xml:space="preserve"> dias do mês de </w:t>
      </w:r>
      <w:r w:rsidR="00851A04" w:rsidRPr="00711780">
        <w:t>abril</w:t>
      </w:r>
      <w:r w:rsidR="00A72C38" w:rsidRPr="00711780">
        <w:t xml:space="preserve"> de 2012</w:t>
      </w:r>
      <w:r w:rsidRPr="00711780">
        <w:t xml:space="preserve">, realizou-se nas dependências da Secretaria Estadual de Educação a </w:t>
      </w:r>
      <w:r w:rsidR="00851A04" w:rsidRPr="00711780">
        <w:t xml:space="preserve">quadragésima </w:t>
      </w:r>
      <w:r w:rsidRPr="00711780">
        <w:t xml:space="preserve">reunião do Conselho de Acompanhamento e Controle Social do Fundo de Manutenção e Desenvolvimento da Educação Básica e de Valorização dos Profissionais da Educação do Estado do Rio de Janeiro.  Presentes os Senhores Conselheiros </w:t>
      </w:r>
      <w:r w:rsidR="00FF3FA6" w:rsidRPr="00711780">
        <w:t>Marco Antônio Rosa Silva, Sérgio Mendes, Creuza Mattoso de Almeida, Marila Sampaio de Sant’anna, Marlene Puerta Coelho, Rosemery Borges Pereira, Sidney Campos Neves</w:t>
      </w:r>
      <w:r w:rsidR="003C3A09" w:rsidRPr="00711780">
        <w:t xml:space="preserve">, </w:t>
      </w:r>
      <w:r w:rsidR="002D19FF" w:rsidRPr="00711780">
        <w:t xml:space="preserve">Maria Minerva de Medeiros Valle </w:t>
      </w:r>
      <w:r w:rsidR="003C3A09" w:rsidRPr="00711780">
        <w:t>e Carlos Alexandre de Lima Nogueira</w:t>
      </w:r>
      <w:r w:rsidR="002D19FF" w:rsidRPr="00711780">
        <w:t>.</w:t>
      </w:r>
    </w:p>
    <w:p w:rsidR="00A045F2" w:rsidRPr="00711780" w:rsidRDefault="00FF3FA6" w:rsidP="00394548">
      <w:r w:rsidRPr="00711780">
        <w:t>A</w:t>
      </w:r>
      <w:r w:rsidR="00A675FC" w:rsidRPr="00711780">
        <w:t xml:space="preserve">berta a sessão, </w:t>
      </w:r>
      <w:r w:rsidR="00394548">
        <w:t xml:space="preserve">e de acordo com a pauta da Reunião, o Presidente passou a tratar da regularização do Conselho junto ao FNDE esclarecendo sobre </w:t>
      </w:r>
      <w:r w:rsidR="00A045F2" w:rsidRPr="00711780">
        <w:t xml:space="preserve">os procedimentos adotados para a referida regularização do Conselho </w:t>
      </w:r>
      <w:r w:rsidR="00394548">
        <w:t xml:space="preserve">e que está em fase final o cadastro da primeira gestão do mesmo. Em seguida, dando continuidade ao assunto tratado na Sessão anterior, pôs em votação a escolha da escola a ser visitada pelo Conselho. Entre a </w:t>
      </w:r>
      <w:r w:rsidR="00394548" w:rsidRPr="00711780">
        <w:t>CE. Manoel Bandeira, no município de Duque de Caxias e</w:t>
      </w:r>
      <w:r w:rsidR="00394548">
        <w:t xml:space="preserve"> o</w:t>
      </w:r>
      <w:r w:rsidR="00394548" w:rsidRPr="00711780">
        <w:t xml:space="preserve"> CIEP 050 – Pablo Neruda, em São Gonçalo. </w:t>
      </w:r>
      <w:r w:rsidR="00C247C0">
        <w:t>F</w:t>
      </w:r>
      <w:r w:rsidR="00394548" w:rsidRPr="00711780">
        <w:t xml:space="preserve">oi escolhida </w:t>
      </w:r>
      <w:r w:rsidR="00394548">
        <w:t xml:space="preserve">esta última </w:t>
      </w:r>
      <w:r w:rsidR="00394548" w:rsidRPr="00711780">
        <w:t>para a visita</w:t>
      </w:r>
      <w:r w:rsidR="00394548">
        <w:t xml:space="preserve"> que será realizada no dia 18 de abril deste ano.</w:t>
      </w:r>
      <w:r w:rsidR="000A0EF4">
        <w:t xml:space="preserve"> </w:t>
      </w:r>
    </w:p>
    <w:p w:rsidR="00C247C0" w:rsidRDefault="00394548" w:rsidP="00394548">
      <w:r>
        <w:t>Em seguida, o Conselho passou a aprovação dos documentos pendentes</w:t>
      </w:r>
      <w:r w:rsidR="00C247C0">
        <w:t xml:space="preserve">: </w:t>
      </w:r>
      <w:r w:rsidRPr="00711780">
        <w:t>A A</w:t>
      </w:r>
      <w:r w:rsidR="00C247C0">
        <w:t>ta da 37ª Sessão do Conselho e o</w:t>
      </w:r>
      <w:r w:rsidRPr="00711780">
        <w:t xml:space="preserve"> R</w:t>
      </w:r>
      <w:r w:rsidR="00C247C0">
        <w:t>elatório de Gestão 2011. Ambos os documentos foram aprovados por unanimidade e o Relatório passa a ser parte integrante desta Ata.</w:t>
      </w:r>
    </w:p>
    <w:p w:rsidR="00394548" w:rsidRPr="00711780" w:rsidRDefault="00C247C0" w:rsidP="00394548">
      <w:r>
        <w:t xml:space="preserve">No que tange às pendências da Prestação de Contas 2011, o Presidente deu ciência ao Conselho da justificativa do servidor Oswaldo Gomes de Souza Assessor-Chefe de Contabilidade Analítica/SEEDUC pelo não atendimento das solicitações do Conselho e garantido que todo o material estará disponível para a próxima reunião do Conselho. O Conselho votou pela concessão do novo prazo. </w:t>
      </w:r>
      <w:r w:rsidR="00394548" w:rsidRPr="00711780">
        <w:t xml:space="preserve"> </w:t>
      </w:r>
    </w:p>
    <w:p w:rsidR="000318FA" w:rsidRDefault="00884D51" w:rsidP="00884D51">
      <w:r>
        <w:t xml:space="preserve">Dando sequência a reunião, o Presidente </w:t>
      </w:r>
      <w:r w:rsidRPr="00711780">
        <w:t>comunicou aos Conselheiros que respondeu através de ofício ao MPF, informando sobre a prestação de contas do PNATE/2010, realizada pela Secretaria Estadual de Educação – SEEDUC/RJ</w:t>
      </w:r>
      <w:r w:rsidR="000318FA">
        <w:t xml:space="preserve">. </w:t>
      </w:r>
      <w:r w:rsidR="000318FA">
        <w:lastRenderedPageBreak/>
        <w:t>Salientou, no entanto, não ter sido possível qualquer contato com a Procuradora ou alguém de sua equipe. Desta forma não foi possível apurar o motivo do interesse daquela Procuradoria na Prestação de Contas. O Conselheiro Sérgio Mendes confirmou que não houve nenhuma comunicação da Procuradoria junto à SEEDUC.</w:t>
      </w:r>
    </w:p>
    <w:p w:rsidR="00B12C7C" w:rsidRPr="000318FA" w:rsidRDefault="000318FA" w:rsidP="00430B0D">
      <w:r>
        <w:t xml:space="preserve">A Conselheira </w:t>
      </w:r>
      <w:r w:rsidR="002044D6">
        <w:t>Creuza Mattoso manifestou sua preocupação quanto ao montante de recursos disponíveis para a SEEDUC, oriundos de convênios e Programas do Governo Federal, que ainda não foram comprometidos neste exercício.</w:t>
      </w:r>
      <w:r w:rsidR="00B12C7C">
        <w:t xml:space="preserve"> A Conselheira Marila lembrou que os recursos destinados à merenda escolar estão com sua execução bloqueada em função de problemas, no sistema contábil, na codificação de sua fonte. Como a maior parte destes recursos são dos Programas Espaciais de Recuperação da Rede Física que deverão ter sua prestação de contas aprovadas pelo </w:t>
      </w:r>
      <w:r w:rsidR="0076327F">
        <w:t xml:space="preserve">Conselho, </w:t>
      </w:r>
      <w:r w:rsidR="00B12C7C">
        <w:t>foi deliberado que</w:t>
      </w:r>
      <w:r w:rsidR="0076327F">
        <w:t>, para a próxima reunião a</w:t>
      </w:r>
      <w:r w:rsidR="00B12C7C">
        <w:t xml:space="preserve"> Conselheira Creuza vai enviar uma relação destes recursos para análise dos Conselheiros. O Conselheiro Carlos Alexandre irá avaliar a execução dos Recursos dos Programas Especiais e a Conselheira Minerva Valle vai apresentar</w:t>
      </w:r>
      <w:r w:rsidR="0076327F">
        <w:t xml:space="preserve"> </w:t>
      </w:r>
      <w:r w:rsidR="00B12C7C">
        <w:t xml:space="preserve">os programas desenvolvidos pela SEEDUC </w:t>
      </w:r>
      <w:r w:rsidR="0076327F">
        <w:t>em parceria</w:t>
      </w:r>
      <w:r w:rsidR="00B12C7C">
        <w:t xml:space="preserve"> com o MEC/FNDE. </w:t>
      </w:r>
    </w:p>
    <w:p w:rsidR="00D33E74" w:rsidRDefault="0076327F" w:rsidP="00430B0D">
      <w:r>
        <w:t>O Presidente coloca em discussão o voto do Conselheiro Aluísio Gama de Souza, do Tribunal de Contas do Estado, que trata d</w:t>
      </w:r>
      <w:r w:rsidR="00477B9D">
        <w:t>a aplicação indevida dos recursos destinados à Manutenção e Desenvolvimento do Ensino</w:t>
      </w:r>
      <w:r w:rsidR="00D33E74">
        <w:t xml:space="preserve"> verificada na Auditoria realizada na Prefeitura de Carmo</w:t>
      </w:r>
      <w:r w:rsidR="00477B9D">
        <w:t xml:space="preserve">. </w:t>
      </w:r>
      <w:r w:rsidR="00D33E74">
        <w:t>A principal irregularidade consiste na utilização de 60% do FUNDEB para pagamento de servidores que não são profissionais da Educação, conforme definido no Artigo 22 e no seu parágrafo único da Lei Nº 11.494 de junho de 2007, transcrito abaixo.</w:t>
      </w:r>
    </w:p>
    <w:p w:rsidR="00D33E74" w:rsidRDefault="00D33E74" w:rsidP="00D33E74">
      <w:pPr>
        <w:jc w:val="center"/>
      </w:pPr>
      <w:proofErr w:type="gramStart"/>
      <w:r>
        <w:t>...............................................................</w:t>
      </w:r>
      <w:proofErr w:type="gramEnd"/>
    </w:p>
    <w:p w:rsidR="00D33E74" w:rsidRPr="00613F87" w:rsidRDefault="00D33E74" w:rsidP="00D33E74">
      <w:pPr>
        <w:jc w:val="center"/>
        <w:rPr>
          <w:i/>
          <w:sz w:val="22"/>
          <w:szCs w:val="22"/>
        </w:rPr>
      </w:pPr>
      <w:r w:rsidRPr="00613F87">
        <w:rPr>
          <w:i/>
          <w:sz w:val="22"/>
          <w:szCs w:val="22"/>
        </w:rPr>
        <w:t>Art. 22.  Pelo menos 60% (sessenta por cento) dos recursos anuais totais dos Fundos serão destinados ao pagamento da remuneração dos profissionais do magistério da educação básica em efetivo exercício na rede pública.</w:t>
      </w:r>
    </w:p>
    <w:p w:rsidR="00D33E74" w:rsidRPr="00613F87" w:rsidRDefault="00D33E74" w:rsidP="00D33E74">
      <w:pPr>
        <w:jc w:val="center"/>
        <w:rPr>
          <w:i/>
          <w:sz w:val="22"/>
          <w:szCs w:val="22"/>
        </w:rPr>
      </w:pPr>
      <w:r w:rsidRPr="00613F87">
        <w:rPr>
          <w:i/>
          <w:sz w:val="22"/>
          <w:szCs w:val="22"/>
        </w:rPr>
        <w:t>Parágrafo único.  Para os fins do disposto no caput deste artigo, considera-se:</w:t>
      </w:r>
    </w:p>
    <w:p w:rsidR="00D33E74" w:rsidRPr="00613F87" w:rsidRDefault="00D33E74" w:rsidP="00D33E74">
      <w:pPr>
        <w:jc w:val="center"/>
        <w:rPr>
          <w:i/>
          <w:sz w:val="22"/>
          <w:szCs w:val="22"/>
        </w:rPr>
      </w:pPr>
      <w:r w:rsidRPr="00613F87">
        <w:rPr>
          <w:i/>
          <w:sz w:val="22"/>
          <w:szCs w:val="22"/>
        </w:rPr>
        <w:t>I - remuneração: o total de pagamentos devidos aos profissionais do magistério da educação, em decorrência do efetivo exercício em cargo, emprego ou função, integrantes da estrutura, quadro ou tabela de servidores do Estado, Distrito Federal ou Município, conforme o caso, inclusive os encargos sociais incidentes;</w:t>
      </w:r>
    </w:p>
    <w:p w:rsidR="00D33E74" w:rsidRPr="00613F87" w:rsidRDefault="00D33E74" w:rsidP="00D33E74">
      <w:pPr>
        <w:jc w:val="center"/>
        <w:rPr>
          <w:i/>
          <w:sz w:val="22"/>
          <w:szCs w:val="22"/>
        </w:rPr>
      </w:pPr>
      <w:r w:rsidRPr="00613F87">
        <w:rPr>
          <w:i/>
          <w:sz w:val="22"/>
          <w:szCs w:val="22"/>
        </w:rPr>
        <w:t>II - profissionais do magistério da educação: docentes, profissionais que oferecem suporte pedagógico direto ao exercício da docência: direção ou administração escolar, planejamento, inspeção, supervisão, orientação educacional e coordenação pedagógica;</w:t>
      </w:r>
    </w:p>
    <w:p w:rsidR="00D33E74" w:rsidRPr="00613F87" w:rsidRDefault="00D33E74" w:rsidP="00D33E74">
      <w:pPr>
        <w:jc w:val="center"/>
        <w:rPr>
          <w:i/>
          <w:sz w:val="22"/>
          <w:szCs w:val="22"/>
        </w:rPr>
      </w:pPr>
      <w:r w:rsidRPr="00613F87">
        <w:rPr>
          <w:i/>
          <w:sz w:val="22"/>
          <w:szCs w:val="22"/>
        </w:rPr>
        <w:lastRenderedPageBreak/>
        <w:t>III - efetivo exercício: atuação efetiva no desempenho das atividades de magistério previstas no inciso II deste parágrafo associada à sua regular vinculação contratual, temporária ou estatutária, com o ente governamental que o remunera, não sendo descaracterizado por eventuais afastamentos temporários previstos em lei, com ônus para o empregador, que não impliquem rompimento da relação jurídica existente.</w:t>
      </w:r>
    </w:p>
    <w:p w:rsidR="00D33E74" w:rsidRDefault="00D33E74" w:rsidP="00D33E74">
      <w:pPr>
        <w:jc w:val="center"/>
      </w:pPr>
      <w:proofErr w:type="gramStart"/>
      <w:r>
        <w:t>............................................................</w:t>
      </w:r>
      <w:proofErr w:type="gramEnd"/>
    </w:p>
    <w:p w:rsidR="00D33E74" w:rsidRDefault="00D33E74" w:rsidP="006F7D08">
      <w:pPr>
        <w:spacing w:line="360" w:lineRule="auto"/>
      </w:pPr>
      <w:r>
        <w:t>Após debate pelos Conselheiros, foi consenso entre os Conselheiros</w:t>
      </w:r>
      <w:r w:rsidR="006F7D08">
        <w:t xml:space="preserve"> que (a) o limite é mínimo, nada impede que maior parcela dos recursos sejam empregados com esta despesa (b) que somente professores “dentro da escola” integrarão os 60%; (c) professores em atividades administrativas dentro da SEEDUC ou das Metropolitanas poderão ser pagos na parcela excedente de 40%; (d) o mesmo vale para os profissionais de apoio que trabalhem nas escolas.</w:t>
      </w:r>
    </w:p>
    <w:p w:rsidR="006F7D08" w:rsidRDefault="006F7D08">
      <w:pPr>
        <w:spacing w:line="360" w:lineRule="auto"/>
      </w:pPr>
      <w:r>
        <w:br w:type="page"/>
      </w:r>
    </w:p>
    <w:p w:rsidR="006F7D08" w:rsidRDefault="00BF0E7F" w:rsidP="00F50A95">
      <w:pPr>
        <w:pStyle w:val="Cabealho"/>
        <w:tabs>
          <w:tab w:val="clear" w:pos="4252"/>
          <w:tab w:val="clear" w:pos="8504"/>
          <w:tab w:val="center" w:pos="2977"/>
        </w:tabs>
        <w:jc w:val="center"/>
        <w:rPr>
          <w:rFonts w:ascii="Arial" w:hAnsi="Arial" w:cs="Arial"/>
          <w:sz w:val="20"/>
        </w:rPr>
      </w:pPr>
      <w:r>
        <w:rPr>
          <w:rFonts w:ascii="Arial" w:hAnsi="Arial" w:cs="Arial"/>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8" type="#_x0000_t75" alt="logorj" style="position:absolute;left:0;text-align:left;margin-left:189pt;margin-top:-12.8pt;width:49pt;height:63pt;z-index:251662336;visibility:visible">
            <v:imagedata r:id="rId5" o:title="logorj"/>
          </v:shape>
        </w:pict>
      </w:r>
    </w:p>
    <w:p w:rsidR="006F7D08" w:rsidRDefault="006F7D08" w:rsidP="00DD1C5B">
      <w:pPr>
        <w:pStyle w:val="Cabealho"/>
        <w:jc w:val="center"/>
        <w:rPr>
          <w:rFonts w:ascii="Arial" w:hAnsi="Arial" w:cs="Arial"/>
          <w:sz w:val="20"/>
        </w:rPr>
      </w:pPr>
    </w:p>
    <w:p w:rsidR="006F7D08" w:rsidRDefault="006F7D08" w:rsidP="00DD1C5B">
      <w:pPr>
        <w:pStyle w:val="Cabealho"/>
        <w:jc w:val="center"/>
        <w:rPr>
          <w:rFonts w:ascii="Arial" w:hAnsi="Arial" w:cs="Arial"/>
          <w:sz w:val="20"/>
        </w:rPr>
      </w:pPr>
    </w:p>
    <w:p w:rsidR="006F7D08" w:rsidRDefault="006F7D08" w:rsidP="00DD1C5B">
      <w:pPr>
        <w:pStyle w:val="Cabealho"/>
        <w:jc w:val="center"/>
        <w:rPr>
          <w:rFonts w:ascii="Arial" w:hAnsi="Arial" w:cs="Arial"/>
          <w:sz w:val="20"/>
        </w:rPr>
      </w:pPr>
    </w:p>
    <w:p w:rsidR="006F7D08" w:rsidRDefault="006F7D08" w:rsidP="00DD1C5B">
      <w:pPr>
        <w:pStyle w:val="Cabealho"/>
        <w:jc w:val="center"/>
        <w:rPr>
          <w:rFonts w:ascii="Arial" w:hAnsi="Arial" w:cs="Arial"/>
          <w:sz w:val="20"/>
        </w:rPr>
      </w:pPr>
    </w:p>
    <w:p w:rsidR="006F7D08" w:rsidRPr="00501B10" w:rsidRDefault="006F7D08" w:rsidP="00DD1C5B">
      <w:pPr>
        <w:pStyle w:val="Cabealho"/>
        <w:jc w:val="center"/>
        <w:rPr>
          <w:rFonts w:ascii="Garamond" w:hAnsi="Garamond" w:cs="Arial"/>
          <w:color w:val="000000"/>
          <w:sz w:val="20"/>
        </w:rPr>
      </w:pPr>
      <w:r w:rsidRPr="00501B10">
        <w:rPr>
          <w:rFonts w:ascii="Garamond" w:hAnsi="Garamond" w:cs="Arial"/>
          <w:color w:val="000000"/>
          <w:sz w:val="20"/>
        </w:rPr>
        <w:t>GOVERNO DO RIO DE JANEIRO</w:t>
      </w:r>
    </w:p>
    <w:p w:rsidR="006F7D08" w:rsidRDefault="006F7D08" w:rsidP="00F50A95">
      <w:pPr>
        <w:pStyle w:val="Cabealho"/>
        <w:tabs>
          <w:tab w:val="clear" w:pos="8504"/>
          <w:tab w:val="right" w:pos="8505"/>
        </w:tabs>
        <w:jc w:val="center"/>
        <w:rPr>
          <w:rFonts w:ascii="Garamond" w:hAnsi="Garamond" w:cs="Arial"/>
          <w:color w:val="000000"/>
          <w:sz w:val="20"/>
        </w:rPr>
      </w:pPr>
      <w:r>
        <w:rPr>
          <w:rFonts w:ascii="Garamond" w:hAnsi="Garamond" w:cs="Arial"/>
          <w:color w:val="000000"/>
          <w:sz w:val="20"/>
        </w:rPr>
        <w:t>CONSELHO SOCIAL DO FUNDEB / RIO DE JANEIRO</w:t>
      </w:r>
    </w:p>
    <w:p w:rsidR="006F7D08" w:rsidRDefault="006F7D08" w:rsidP="00F50A95">
      <w:pPr>
        <w:pStyle w:val="Cabealho"/>
        <w:tabs>
          <w:tab w:val="clear" w:pos="8504"/>
          <w:tab w:val="right" w:pos="8505"/>
        </w:tabs>
        <w:jc w:val="center"/>
        <w:rPr>
          <w:rFonts w:ascii="Garamond" w:hAnsi="Garamond" w:cs="Arial"/>
          <w:color w:val="000000"/>
          <w:sz w:val="20"/>
        </w:rPr>
      </w:pPr>
    </w:p>
    <w:p w:rsidR="006F7D08" w:rsidRDefault="006F7D08" w:rsidP="00F50A95">
      <w:pPr>
        <w:pStyle w:val="Cabealho"/>
        <w:tabs>
          <w:tab w:val="clear" w:pos="8504"/>
          <w:tab w:val="right" w:pos="8505"/>
        </w:tabs>
        <w:jc w:val="center"/>
        <w:rPr>
          <w:rFonts w:ascii="Garamond" w:hAnsi="Garamond" w:cs="Arial"/>
          <w:color w:val="000000"/>
          <w:sz w:val="20"/>
        </w:rPr>
      </w:pPr>
    </w:p>
    <w:p w:rsidR="006F7D08" w:rsidRDefault="006F7D08" w:rsidP="00453C26">
      <w:pPr>
        <w:pStyle w:val="Cabealho"/>
        <w:tabs>
          <w:tab w:val="clear" w:pos="8504"/>
          <w:tab w:val="right" w:pos="8505"/>
        </w:tabs>
        <w:spacing w:before="120" w:line="360" w:lineRule="auto"/>
        <w:jc w:val="center"/>
        <w:rPr>
          <w:rFonts w:ascii="Garamond" w:hAnsi="Garamond" w:cs="Andalus"/>
        </w:rPr>
      </w:pPr>
      <w:r w:rsidRPr="00F50A95">
        <w:rPr>
          <w:rFonts w:ascii="Garamond" w:hAnsi="Garamond" w:cs="Andalus"/>
        </w:rPr>
        <w:t xml:space="preserve">Ao longo do </w:t>
      </w:r>
      <w:r>
        <w:rPr>
          <w:rFonts w:ascii="Garamond" w:hAnsi="Garamond" w:cs="Andalus"/>
        </w:rPr>
        <w:t>ano</w:t>
      </w:r>
      <w:r w:rsidRPr="00F50A95">
        <w:rPr>
          <w:rFonts w:ascii="Garamond" w:hAnsi="Garamond" w:cs="Andalus"/>
        </w:rPr>
        <w:t xml:space="preserve"> de </w:t>
      </w:r>
      <w:r>
        <w:rPr>
          <w:rFonts w:ascii="Garamond" w:hAnsi="Garamond" w:cs="Andalus"/>
        </w:rPr>
        <w:t>2011, o Conselho Social do FUNDEB do Estado do Rio de Janeiro deliberou e decidiu sobre os seguintes temas:</w:t>
      </w:r>
    </w:p>
    <w:p w:rsidR="006F7D08" w:rsidRDefault="006F7D08" w:rsidP="00F50A95">
      <w:pPr>
        <w:pStyle w:val="Cabealho"/>
        <w:tabs>
          <w:tab w:val="clear" w:pos="8504"/>
          <w:tab w:val="right" w:pos="8505"/>
        </w:tabs>
        <w:spacing w:before="120" w:line="360" w:lineRule="auto"/>
        <w:jc w:val="both"/>
        <w:rPr>
          <w:rFonts w:ascii="Garamond" w:hAnsi="Garamond" w:cs="Andalus"/>
        </w:rPr>
      </w:pPr>
    </w:p>
    <w:tbl>
      <w:tblPr>
        <w:tblW w:w="9392" w:type="dxa"/>
        <w:tblBorders>
          <w:top w:val="double" w:sz="4" w:space="0" w:color="auto"/>
          <w:bottom w:val="double" w:sz="4" w:space="0" w:color="auto"/>
          <w:insideH w:val="double" w:sz="4" w:space="0" w:color="auto"/>
          <w:insideV w:val="single" w:sz="4" w:space="0" w:color="auto"/>
        </w:tblBorders>
        <w:tblLook w:val="04A0"/>
      </w:tblPr>
      <w:tblGrid>
        <w:gridCol w:w="4752"/>
        <w:gridCol w:w="4640"/>
      </w:tblGrid>
      <w:tr w:rsidR="006F7D08" w:rsidRPr="001556BD" w:rsidTr="00453C26">
        <w:trPr>
          <w:trHeight w:val="553"/>
        </w:trPr>
        <w:tc>
          <w:tcPr>
            <w:tcW w:w="4752" w:type="dxa"/>
            <w:tcBorders>
              <w:bottom w:val="double" w:sz="4" w:space="0" w:color="auto"/>
            </w:tcBorders>
          </w:tcPr>
          <w:p w:rsidR="006F7D08" w:rsidRPr="001556BD" w:rsidRDefault="006F7D08" w:rsidP="001556BD">
            <w:pPr>
              <w:pStyle w:val="Cabealho"/>
              <w:tabs>
                <w:tab w:val="clear" w:pos="8504"/>
                <w:tab w:val="right" w:pos="8505"/>
              </w:tabs>
              <w:spacing w:before="120" w:line="360" w:lineRule="auto"/>
              <w:jc w:val="center"/>
              <w:rPr>
                <w:rFonts w:ascii="Garamond" w:hAnsi="Garamond" w:cs="Arial"/>
                <w:b/>
                <w:color w:val="000000"/>
              </w:rPr>
            </w:pPr>
            <w:r w:rsidRPr="001556BD">
              <w:rPr>
                <w:rFonts w:ascii="Garamond" w:hAnsi="Garamond" w:cs="Arial"/>
                <w:b/>
                <w:color w:val="000000"/>
              </w:rPr>
              <w:t>ASSUNTO</w:t>
            </w:r>
          </w:p>
        </w:tc>
        <w:tc>
          <w:tcPr>
            <w:tcW w:w="4640" w:type="dxa"/>
            <w:tcBorders>
              <w:bottom w:val="double" w:sz="4" w:space="0" w:color="auto"/>
            </w:tcBorders>
          </w:tcPr>
          <w:p w:rsidR="006F7D08" w:rsidRPr="001556BD" w:rsidRDefault="006F7D08" w:rsidP="001556BD">
            <w:pPr>
              <w:pStyle w:val="Cabealho"/>
              <w:tabs>
                <w:tab w:val="clear" w:pos="8504"/>
                <w:tab w:val="right" w:pos="8505"/>
              </w:tabs>
              <w:spacing w:before="120" w:line="360" w:lineRule="auto"/>
              <w:jc w:val="center"/>
              <w:rPr>
                <w:rFonts w:ascii="Garamond" w:hAnsi="Garamond" w:cs="Arial"/>
                <w:b/>
                <w:color w:val="000000"/>
              </w:rPr>
            </w:pPr>
            <w:r w:rsidRPr="001556BD">
              <w:rPr>
                <w:rFonts w:ascii="Garamond" w:hAnsi="Garamond" w:cs="Arial"/>
                <w:b/>
                <w:color w:val="000000"/>
              </w:rPr>
              <w:t>DELIBERAÇÃO</w:t>
            </w:r>
          </w:p>
        </w:tc>
      </w:tr>
      <w:tr w:rsidR="006F7D08" w:rsidRPr="001556BD" w:rsidTr="00453C26">
        <w:trPr>
          <w:trHeight w:val="1291"/>
        </w:trPr>
        <w:tc>
          <w:tcPr>
            <w:tcW w:w="4752" w:type="dxa"/>
            <w:tcBorders>
              <w:bottom w:val="nil"/>
            </w:tcBorders>
          </w:tcPr>
          <w:p w:rsidR="006F7D08" w:rsidRPr="001556BD" w:rsidRDefault="006F7D08" w:rsidP="001556BD">
            <w:pPr>
              <w:pStyle w:val="Cabealho"/>
              <w:tabs>
                <w:tab w:val="clear" w:pos="4252"/>
                <w:tab w:val="clear" w:pos="8504"/>
              </w:tabs>
              <w:spacing w:before="120"/>
              <w:ind w:right="-108"/>
              <w:rPr>
                <w:rFonts w:ascii="Garamond" w:hAnsi="Garamond" w:cs="Arial"/>
                <w:color w:val="000000"/>
              </w:rPr>
            </w:pPr>
            <w:r w:rsidRPr="001556BD">
              <w:rPr>
                <w:rFonts w:ascii="Garamond" w:hAnsi="Garamond" w:cs="Arial"/>
                <w:color w:val="000000"/>
              </w:rPr>
              <w:t>(1) Prestação de contas mensal do FUNDEB</w:t>
            </w:r>
          </w:p>
        </w:tc>
        <w:tc>
          <w:tcPr>
            <w:tcW w:w="4640" w:type="dxa"/>
            <w:tcBorders>
              <w:bottom w:val="nil"/>
            </w:tcBorders>
          </w:tcPr>
          <w:p w:rsidR="006F7D08" w:rsidRPr="001556BD" w:rsidRDefault="006F7D08" w:rsidP="005A2779">
            <w:pPr>
              <w:pStyle w:val="Cabealho"/>
              <w:spacing w:before="120"/>
              <w:rPr>
                <w:rFonts w:ascii="Garamond" w:hAnsi="Garamond" w:cs="Arial"/>
                <w:color w:val="000000"/>
              </w:rPr>
            </w:pPr>
            <w:r w:rsidRPr="001556BD">
              <w:rPr>
                <w:rFonts w:ascii="Garamond" w:hAnsi="Garamond" w:cs="Arial"/>
                <w:color w:val="000000"/>
              </w:rPr>
              <w:t>Anál</w:t>
            </w:r>
            <w:r>
              <w:rPr>
                <w:rFonts w:ascii="Garamond" w:hAnsi="Garamond" w:cs="Arial"/>
                <w:color w:val="000000"/>
              </w:rPr>
              <w:t>ise da arrecadação dos recursos, repasse aos municípios e a</w:t>
            </w:r>
            <w:r w:rsidRPr="001556BD">
              <w:rPr>
                <w:rFonts w:ascii="Garamond" w:hAnsi="Garamond" w:cs="Arial"/>
                <w:color w:val="000000"/>
              </w:rPr>
              <w:t>companhamento da despesa realizada.</w:t>
            </w:r>
          </w:p>
          <w:p w:rsidR="006F7D08" w:rsidRPr="001556BD" w:rsidRDefault="006F7D08" w:rsidP="001556BD">
            <w:pPr>
              <w:pStyle w:val="Cabealho"/>
              <w:spacing w:before="120"/>
              <w:rPr>
                <w:rFonts w:ascii="Garamond" w:hAnsi="Garamond" w:cs="Arial"/>
                <w:color w:val="000000"/>
              </w:rPr>
            </w:pPr>
          </w:p>
        </w:tc>
      </w:tr>
      <w:tr w:rsidR="006F7D08" w:rsidRPr="001556BD" w:rsidTr="00453C26">
        <w:trPr>
          <w:trHeight w:val="816"/>
        </w:trPr>
        <w:tc>
          <w:tcPr>
            <w:tcW w:w="4752" w:type="dxa"/>
            <w:tcBorders>
              <w:top w:val="nil"/>
              <w:bottom w:val="nil"/>
            </w:tcBorders>
          </w:tcPr>
          <w:p w:rsidR="006F7D08" w:rsidRPr="001556BD" w:rsidRDefault="006F7D08" w:rsidP="001556BD">
            <w:pPr>
              <w:pStyle w:val="Cabealho"/>
              <w:tabs>
                <w:tab w:val="clear" w:pos="8504"/>
                <w:tab w:val="right" w:pos="8505"/>
              </w:tabs>
              <w:spacing w:before="120"/>
              <w:rPr>
                <w:rFonts w:ascii="Garamond" w:hAnsi="Garamond" w:cs="Arial"/>
                <w:color w:val="000000"/>
              </w:rPr>
            </w:pPr>
            <w:r w:rsidRPr="001556BD">
              <w:rPr>
                <w:rFonts w:ascii="Garamond" w:hAnsi="Garamond" w:cs="Arial"/>
                <w:color w:val="000000"/>
              </w:rPr>
              <w:t>(2) Prestação de contas 2010</w:t>
            </w:r>
          </w:p>
        </w:tc>
        <w:tc>
          <w:tcPr>
            <w:tcW w:w="4640" w:type="dxa"/>
            <w:tcBorders>
              <w:top w:val="nil"/>
              <w:bottom w:val="nil"/>
            </w:tcBorders>
          </w:tcPr>
          <w:p w:rsidR="006F7D08" w:rsidRPr="001556BD" w:rsidRDefault="006F7D08" w:rsidP="001556BD">
            <w:pPr>
              <w:pStyle w:val="Cabealho"/>
              <w:tabs>
                <w:tab w:val="clear" w:pos="8504"/>
                <w:tab w:val="right" w:pos="8505"/>
              </w:tabs>
              <w:spacing w:before="120"/>
              <w:rPr>
                <w:rFonts w:ascii="Garamond" w:hAnsi="Garamond" w:cs="Arial"/>
                <w:color w:val="000000"/>
              </w:rPr>
            </w:pPr>
            <w:r w:rsidRPr="001556BD">
              <w:rPr>
                <w:rFonts w:ascii="Garamond" w:hAnsi="Garamond" w:cs="Arial"/>
                <w:color w:val="000000"/>
              </w:rPr>
              <w:t xml:space="preserve">Análise </w:t>
            </w:r>
            <w:r>
              <w:rPr>
                <w:rFonts w:ascii="Garamond" w:hAnsi="Garamond" w:cs="Arial"/>
                <w:color w:val="000000"/>
              </w:rPr>
              <w:t>e</w:t>
            </w:r>
            <w:r w:rsidRPr="001556BD">
              <w:rPr>
                <w:rFonts w:ascii="Garamond" w:hAnsi="Garamond" w:cs="Arial"/>
                <w:color w:val="000000"/>
              </w:rPr>
              <w:t xml:space="preserve"> aprovação das contas.</w:t>
            </w:r>
          </w:p>
          <w:p w:rsidR="006F7D08" w:rsidRPr="001556BD" w:rsidRDefault="006F7D08" w:rsidP="001556BD">
            <w:pPr>
              <w:pStyle w:val="Cabealho"/>
              <w:tabs>
                <w:tab w:val="clear" w:pos="8504"/>
                <w:tab w:val="right" w:pos="8505"/>
              </w:tabs>
              <w:spacing w:before="120"/>
              <w:rPr>
                <w:rFonts w:ascii="Garamond" w:hAnsi="Garamond" w:cs="Arial"/>
                <w:color w:val="000000"/>
              </w:rPr>
            </w:pPr>
          </w:p>
        </w:tc>
      </w:tr>
      <w:tr w:rsidR="006F7D08" w:rsidRPr="001556BD" w:rsidTr="00453C26">
        <w:trPr>
          <w:trHeight w:val="3530"/>
        </w:trPr>
        <w:tc>
          <w:tcPr>
            <w:tcW w:w="4752" w:type="dxa"/>
            <w:tcBorders>
              <w:top w:val="nil"/>
              <w:bottom w:val="nil"/>
            </w:tcBorders>
          </w:tcPr>
          <w:p w:rsidR="006F7D08" w:rsidRPr="001556BD" w:rsidRDefault="006F7D08" w:rsidP="009231C1">
            <w:pPr>
              <w:pStyle w:val="Cabealho"/>
              <w:spacing w:before="120"/>
              <w:rPr>
                <w:rFonts w:ascii="Garamond" w:hAnsi="Garamond" w:cs="Arial"/>
                <w:color w:val="000000"/>
              </w:rPr>
            </w:pPr>
            <w:r w:rsidRPr="001556BD">
              <w:rPr>
                <w:rFonts w:ascii="Garamond" w:hAnsi="Garamond" w:cs="Arial"/>
                <w:color w:val="000000"/>
              </w:rPr>
              <w:t xml:space="preserve">(3) Ajuste de Contas Anual do FUNDEB </w:t>
            </w:r>
          </w:p>
        </w:tc>
        <w:tc>
          <w:tcPr>
            <w:tcW w:w="4640" w:type="dxa"/>
            <w:tcBorders>
              <w:top w:val="nil"/>
              <w:bottom w:val="nil"/>
            </w:tcBorders>
          </w:tcPr>
          <w:p w:rsidR="006F7D08" w:rsidRPr="001556BD" w:rsidRDefault="006F7D08" w:rsidP="001556BD">
            <w:pPr>
              <w:pStyle w:val="Cabealho"/>
              <w:tabs>
                <w:tab w:val="clear" w:pos="8504"/>
                <w:tab w:val="right" w:pos="8505"/>
              </w:tabs>
              <w:spacing w:before="120"/>
              <w:rPr>
                <w:rFonts w:ascii="Garamond" w:hAnsi="Garamond" w:cs="Arial"/>
                <w:color w:val="000000"/>
              </w:rPr>
            </w:pPr>
            <w:r w:rsidRPr="001556BD">
              <w:rPr>
                <w:rFonts w:ascii="Garamond" w:hAnsi="Garamond" w:cs="Arial"/>
                <w:color w:val="000000"/>
              </w:rPr>
              <w:t>Oitiva da representante da Sec. de Fazenda sobre o assunto e análise da documentação apresentada.</w:t>
            </w:r>
          </w:p>
          <w:p w:rsidR="006F7D08" w:rsidRDefault="006F7D08" w:rsidP="001556BD">
            <w:pPr>
              <w:pStyle w:val="Cabealho"/>
              <w:tabs>
                <w:tab w:val="clear" w:pos="8504"/>
                <w:tab w:val="right" w:pos="8505"/>
              </w:tabs>
              <w:spacing w:before="120"/>
              <w:rPr>
                <w:rFonts w:ascii="Garamond" w:hAnsi="Garamond" w:cs="Arial"/>
                <w:color w:val="000000"/>
              </w:rPr>
            </w:pPr>
            <w:r>
              <w:rPr>
                <w:rFonts w:ascii="Garamond" w:hAnsi="Garamond" w:cs="Arial"/>
                <w:color w:val="000000"/>
              </w:rPr>
              <w:t>O Conselho vem mantendo um diálogo com a PJEP sobre os ajustes de contas de diversos exercícios nos quais o Estado teria deixado de repassar recursos ao FUNDEB.</w:t>
            </w:r>
          </w:p>
          <w:p w:rsidR="006F7D08" w:rsidRPr="001556BD" w:rsidRDefault="006F7D08" w:rsidP="001556BD">
            <w:pPr>
              <w:pStyle w:val="Cabealho"/>
              <w:tabs>
                <w:tab w:val="clear" w:pos="8504"/>
                <w:tab w:val="right" w:pos="8505"/>
              </w:tabs>
              <w:spacing w:before="120"/>
              <w:rPr>
                <w:rFonts w:ascii="Garamond" w:hAnsi="Garamond" w:cs="Arial"/>
                <w:color w:val="000000"/>
              </w:rPr>
            </w:pPr>
            <w:r>
              <w:rPr>
                <w:rFonts w:ascii="Garamond" w:hAnsi="Garamond" w:cs="Arial"/>
                <w:color w:val="000000"/>
              </w:rPr>
              <w:t>O mesmo diálogo está sendo tentado com o Tribunal de Contas do Estado, sem ainda termos alcançado êxito.</w:t>
            </w:r>
          </w:p>
          <w:p w:rsidR="006F7D08" w:rsidRPr="001556BD" w:rsidRDefault="006F7D08" w:rsidP="001556BD">
            <w:pPr>
              <w:pStyle w:val="Cabealho"/>
              <w:tabs>
                <w:tab w:val="clear" w:pos="8504"/>
                <w:tab w:val="right" w:pos="8505"/>
              </w:tabs>
              <w:spacing w:before="120"/>
              <w:rPr>
                <w:rFonts w:ascii="Garamond" w:hAnsi="Garamond" w:cs="Arial"/>
                <w:color w:val="000000"/>
              </w:rPr>
            </w:pPr>
          </w:p>
        </w:tc>
      </w:tr>
      <w:tr w:rsidR="006F7D08" w:rsidRPr="001556BD" w:rsidTr="00453C26">
        <w:trPr>
          <w:trHeight w:val="1923"/>
        </w:trPr>
        <w:tc>
          <w:tcPr>
            <w:tcW w:w="4752" w:type="dxa"/>
            <w:tcBorders>
              <w:top w:val="nil"/>
              <w:bottom w:val="nil"/>
            </w:tcBorders>
          </w:tcPr>
          <w:p w:rsidR="006F7D08" w:rsidRPr="00A37447" w:rsidRDefault="006F7D08" w:rsidP="00D411D6">
            <w:pPr>
              <w:pStyle w:val="Cabealho"/>
              <w:spacing w:before="120" w:line="360" w:lineRule="auto"/>
              <w:rPr>
                <w:rFonts w:ascii="Garamond" w:hAnsi="Garamond" w:cs="Arial"/>
                <w:color w:val="000000"/>
              </w:rPr>
            </w:pPr>
            <w:r w:rsidRPr="00A37447">
              <w:rPr>
                <w:rFonts w:ascii="Garamond" w:hAnsi="Garamond" w:cs="Arial"/>
                <w:color w:val="000000"/>
              </w:rPr>
              <w:t>(</w:t>
            </w:r>
            <w:r>
              <w:rPr>
                <w:rFonts w:ascii="Garamond" w:hAnsi="Garamond" w:cs="Arial"/>
                <w:color w:val="000000"/>
              </w:rPr>
              <w:t>4</w:t>
            </w:r>
            <w:r w:rsidRPr="00A37447">
              <w:rPr>
                <w:rFonts w:ascii="Garamond" w:hAnsi="Garamond" w:cs="Arial"/>
                <w:color w:val="000000"/>
              </w:rPr>
              <w:t>) Tribunal de Contas do Estado</w:t>
            </w:r>
          </w:p>
        </w:tc>
        <w:tc>
          <w:tcPr>
            <w:tcW w:w="4640" w:type="dxa"/>
            <w:tcBorders>
              <w:top w:val="nil"/>
              <w:bottom w:val="nil"/>
            </w:tcBorders>
          </w:tcPr>
          <w:p w:rsidR="006F7D08" w:rsidRPr="00A37447" w:rsidRDefault="006F7D08" w:rsidP="00D411D6">
            <w:pPr>
              <w:pStyle w:val="Cabealho"/>
              <w:tabs>
                <w:tab w:val="clear" w:pos="8504"/>
                <w:tab w:val="right" w:pos="8505"/>
              </w:tabs>
              <w:spacing w:before="120"/>
              <w:rPr>
                <w:rFonts w:ascii="Garamond" w:hAnsi="Garamond" w:cs="Arial"/>
                <w:color w:val="000000"/>
              </w:rPr>
            </w:pPr>
            <w:r w:rsidRPr="00A37447">
              <w:rPr>
                <w:rFonts w:ascii="Garamond" w:hAnsi="Garamond" w:cs="Arial"/>
                <w:color w:val="000000"/>
              </w:rPr>
              <w:t>A pedido daquela corte</w:t>
            </w:r>
            <w:proofErr w:type="gramStart"/>
            <w:r>
              <w:rPr>
                <w:rFonts w:ascii="Garamond" w:hAnsi="Garamond" w:cs="Arial"/>
                <w:color w:val="000000"/>
              </w:rPr>
              <w:t>, são</w:t>
            </w:r>
            <w:proofErr w:type="gramEnd"/>
            <w:r>
              <w:rPr>
                <w:rFonts w:ascii="Garamond" w:hAnsi="Garamond" w:cs="Arial"/>
                <w:color w:val="000000"/>
              </w:rPr>
              <w:t xml:space="preserve"> divulgados votos dos Conselheiros sobre temas relativos à Educação. Estes votos são debatidos em nossas sessões de modo a fornecer subsídios ao trabalho do Conselho. </w:t>
            </w:r>
          </w:p>
          <w:p w:rsidR="006F7D08" w:rsidRPr="00A37447" w:rsidRDefault="006F7D08" w:rsidP="00D411D6">
            <w:pPr>
              <w:pStyle w:val="Cabealho"/>
              <w:tabs>
                <w:tab w:val="clear" w:pos="8504"/>
                <w:tab w:val="right" w:pos="8505"/>
              </w:tabs>
              <w:spacing w:before="120"/>
              <w:rPr>
                <w:rFonts w:ascii="Garamond" w:hAnsi="Garamond" w:cs="Arial"/>
                <w:color w:val="000000"/>
              </w:rPr>
            </w:pPr>
          </w:p>
        </w:tc>
      </w:tr>
      <w:tr w:rsidR="006F7D08" w:rsidRPr="001556BD" w:rsidTr="00453C26">
        <w:trPr>
          <w:trHeight w:val="1633"/>
        </w:trPr>
        <w:tc>
          <w:tcPr>
            <w:tcW w:w="4752" w:type="dxa"/>
            <w:tcBorders>
              <w:top w:val="nil"/>
            </w:tcBorders>
          </w:tcPr>
          <w:p w:rsidR="006F7D08" w:rsidRPr="00A37447" w:rsidRDefault="006F7D08" w:rsidP="00D411D6">
            <w:pPr>
              <w:pStyle w:val="Cabealho"/>
              <w:spacing w:before="120"/>
              <w:ind w:left="536" w:hanging="536"/>
              <w:rPr>
                <w:rFonts w:ascii="Garamond" w:hAnsi="Garamond" w:cs="Arial"/>
                <w:color w:val="000000"/>
              </w:rPr>
            </w:pPr>
            <w:r>
              <w:rPr>
                <w:rFonts w:ascii="Garamond" w:hAnsi="Garamond" w:cs="Arial"/>
                <w:color w:val="000000"/>
              </w:rPr>
              <w:t>(5) Ministério Público.</w:t>
            </w:r>
          </w:p>
        </w:tc>
        <w:tc>
          <w:tcPr>
            <w:tcW w:w="4640" w:type="dxa"/>
            <w:tcBorders>
              <w:top w:val="nil"/>
            </w:tcBorders>
          </w:tcPr>
          <w:p w:rsidR="006F7D08" w:rsidRDefault="006F7D08" w:rsidP="00D411D6">
            <w:pPr>
              <w:pStyle w:val="Cabealho"/>
              <w:tabs>
                <w:tab w:val="clear" w:pos="8504"/>
                <w:tab w:val="right" w:pos="8505"/>
              </w:tabs>
              <w:spacing w:before="120"/>
              <w:rPr>
                <w:rFonts w:ascii="Garamond" w:hAnsi="Garamond" w:cs="Arial"/>
                <w:color w:val="000000"/>
              </w:rPr>
            </w:pPr>
            <w:r>
              <w:rPr>
                <w:rFonts w:ascii="Garamond" w:hAnsi="Garamond" w:cs="Arial"/>
                <w:color w:val="000000"/>
              </w:rPr>
              <w:t xml:space="preserve">Reuniões com a </w:t>
            </w:r>
            <w:r w:rsidRPr="003F5CDB">
              <w:rPr>
                <w:rFonts w:ascii="Garamond" w:hAnsi="Garamond" w:cs="Arial"/>
                <w:color w:val="000000"/>
              </w:rPr>
              <w:t>Promotora de Justiça de Proteção à Educação da Capital do Rio de Janeiro</w:t>
            </w:r>
            <w:r>
              <w:rPr>
                <w:rFonts w:ascii="Garamond" w:hAnsi="Garamond" w:cs="Arial"/>
                <w:color w:val="000000"/>
              </w:rPr>
              <w:t>.</w:t>
            </w:r>
          </w:p>
          <w:p w:rsidR="006F7D08" w:rsidRPr="003F5CDB" w:rsidRDefault="006F7D08" w:rsidP="00D411D6">
            <w:pPr>
              <w:pStyle w:val="Cabealho"/>
              <w:tabs>
                <w:tab w:val="clear" w:pos="8504"/>
                <w:tab w:val="right" w:pos="8505"/>
              </w:tabs>
              <w:spacing w:before="120"/>
              <w:rPr>
                <w:rFonts w:ascii="Garamond" w:hAnsi="Garamond" w:cs="Arial"/>
                <w:color w:val="000000"/>
              </w:rPr>
            </w:pPr>
            <w:r>
              <w:rPr>
                <w:rFonts w:ascii="Garamond" w:hAnsi="Garamond" w:cs="Arial"/>
                <w:color w:val="000000"/>
              </w:rPr>
              <w:t>Debate sobre diversos temas ligados à Educação e ao funcionamento do Conselho.</w:t>
            </w:r>
          </w:p>
        </w:tc>
      </w:tr>
    </w:tbl>
    <w:p w:rsidR="006F7D08" w:rsidRDefault="006F7D08"/>
    <w:tbl>
      <w:tblPr>
        <w:tblW w:w="8986" w:type="dxa"/>
        <w:tblInd w:w="-176" w:type="dxa"/>
        <w:tblBorders>
          <w:top w:val="double" w:sz="4" w:space="0" w:color="auto"/>
          <w:bottom w:val="double" w:sz="4" w:space="0" w:color="auto"/>
          <w:insideV w:val="single" w:sz="4" w:space="0" w:color="auto"/>
        </w:tblBorders>
        <w:tblLook w:val="04A0"/>
      </w:tblPr>
      <w:tblGrid>
        <w:gridCol w:w="4820"/>
        <w:gridCol w:w="4166"/>
      </w:tblGrid>
      <w:tr w:rsidR="006F7D08" w:rsidRPr="00A37447" w:rsidTr="006F7D08">
        <w:tc>
          <w:tcPr>
            <w:tcW w:w="4820" w:type="dxa"/>
            <w:tcBorders>
              <w:top w:val="double" w:sz="4" w:space="0" w:color="auto"/>
              <w:bottom w:val="double" w:sz="4" w:space="0" w:color="auto"/>
            </w:tcBorders>
          </w:tcPr>
          <w:p w:rsidR="006F7D08" w:rsidRPr="00A37447" w:rsidRDefault="006F7D08" w:rsidP="001556BD">
            <w:pPr>
              <w:pStyle w:val="Cabealho"/>
              <w:tabs>
                <w:tab w:val="clear" w:pos="8504"/>
                <w:tab w:val="right" w:pos="8505"/>
              </w:tabs>
              <w:spacing w:before="120" w:line="360" w:lineRule="auto"/>
              <w:jc w:val="center"/>
              <w:rPr>
                <w:rFonts w:ascii="Garamond" w:hAnsi="Garamond" w:cs="Arial"/>
                <w:color w:val="000000"/>
              </w:rPr>
            </w:pPr>
            <w:r w:rsidRPr="00A37447">
              <w:rPr>
                <w:rFonts w:ascii="Garamond" w:hAnsi="Garamond" w:cs="Arial"/>
                <w:color w:val="000000"/>
              </w:rPr>
              <w:lastRenderedPageBreak/>
              <w:t>ASSUNTO</w:t>
            </w:r>
          </w:p>
        </w:tc>
        <w:tc>
          <w:tcPr>
            <w:tcW w:w="4166" w:type="dxa"/>
            <w:tcBorders>
              <w:top w:val="double" w:sz="4" w:space="0" w:color="auto"/>
              <w:bottom w:val="double" w:sz="4" w:space="0" w:color="auto"/>
            </w:tcBorders>
          </w:tcPr>
          <w:p w:rsidR="006F7D08" w:rsidRPr="00A37447" w:rsidRDefault="006F7D08" w:rsidP="001556BD">
            <w:pPr>
              <w:pStyle w:val="Cabealho"/>
              <w:tabs>
                <w:tab w:val="clear" w:pos="8504"/>
                <w:tab w:val="right" w:pos="8505"/>
              </w:tabs>
              <w:spacing w:before="120" w:line="360" w:lineRule="auto"/>
              <w:jc w:val="center"/>
              <w:rPr>
                <w:rFonts w:ascii="Garamond" w:hAnsi="Garamond" w:cs="Arial"/>
                <w:color w:val="000000"/>
              </w:rPr>
            </w:pPr>
            <w:r w:rsidRPr="00A37447">
              <w:rPr>
                <w:rFonts w:ascii="Garamond" w:hAnsi="Garamond" w:cs="Arial"/>
                <w:color w:val="000000"/>
              </w:rPr>
              <w:t>DELIBERAÇÃO</w:t>
            </w:r>
          </w:p>
        </w:tc>
      </w:tr>
      <w:tr w:rsidR="006F7D08" w:rsidRPr="00A37447" w:rsidTr="006F7D08">
        <w:trPr>
          <w:trHeight w:val="1592"/>
        </w:trPr>
        <w:tc>
          <w:tcPr>
            <w:tcW w:w="4820" w:type="dxa"/>
            <w:tcBorders>
              <w:top w:val="double" w:sz="4" w:space="0" w:color="auto"/>
            </w:tcBorders>
          </w:tcPr>
          <w:p w:rsidR="006F7D08" w:rsidRPr="00A37447" w:rsidRDefault="006F7D08" w:rsidP="00143434">
            <w:pPr>
              <w:pStyle w:val="Cabealho"/>
              <w:spacing w:before="120"/>
              <w:ind w:left="536" w:hanging="536"/>
              <w:rPr>
                <w:rFonts w:ascii="Garamond" w:hAnsi="Garamond" w:cs="Arial"/>
                <w:color w:val="000000"/>
              </w:rPr>
            </w:pPr>
            <w:r w:rsidRPr="00A37447">
              <w:rPr>
                <w:rFonts w:ascii="Garamond" w:hAnsi="Garamond" w:cs="Arial"/>
                <w:color w:val="000000"/>
              </w:rPr>
              <w:t>(</w:t>
            </w:r>
            <w:r>
              <w:rPr>
                <w:rFonts w:ascii="Garamond" w:hAnsi="Garamond" w:cs="Arial"/>
                <w:color w:val="000000"/>
              </w:rPr>
              <w:t>6</w:t>
            </w:r>
            <w:r w:rsidRPr="00A37447">
              <w:rPr>
                <w:rFonts w:ascii="Garamond" w:hAnsi="Garamond" w:cs="Arial"/>
                <w:color w:val="000000"/>
              </w:rPr>
              <w:t>) Aplicação mínima de recursos do FUNDEB no pagamento de pessoal</w:t>
            </w:r>
          </w:p>
        </w:tc>
        <w:tc>
          <w:tcPr>
            <w:tcW w:w="4166" w:type="dxa"/>
            <w:tcBorders>
              <w:top w:val="double" w:sz="4" w:space="0" w:color="auto"/>
            </w:tcBorders>
          </w:tcPr>
          <w:p w:rsidR="006F7D08" w:rsidRPr="00A37447" w:rsidRDefault="006F7D08" w:rsidP="001556BD">
            <w:pPr>
              <w:pStyle w:val="Cabealho"/>
              <w:tabs>
                <w:tab w:val="clear" w:pos="8504"/>
                <w:tab w:val="right" w:pos="8505"/>
              </w:tabs>
              <w:spacing w:before="120"/>
              <w:rPr>
                <w:rFonts w:ascii="Garamond" w:hAnsi="Garamond" w:cs="Arial"/>
                <w:color w:val="000000"/>
              </w:rPr>
            </w:pPr>
            <w:r w:rsidRPr="00A37447">
              <w:rPr>
                <w:rFonts w:ascii="Garamond" w:hAnsi="Garamond" w:cs="Arial"/>
                <w:color w:val="000000"/>
              </w:rPr>
              <w:t>Ofício Nº 002/11 à PJPEC dando ciência da posição do Conselho sobre o assunto.</w:t>
            </w:r>
          </w:p>
          <w:p w:rsidR="006F7D08" w:rsidRPr="00A37447" w:rsidRDefault="006F7D08" w:rsidP="001556BD">
            <w:pPr>
              <w:pStyle w:val="Cabealho"/>
              <w:tabs>
                <w:tab w:val="clear" w:pos="8504"/>
                <w:tab w:val="right" w:pos="8505"/>
              </w:tabs>
              <w:spacing w:before="120"/>
              <w:rPr>
                <w:rFonts w:ascii="Garamond" w:hAnsi="Garamond" w:cs="Arial"/>
                <w:color w:val="000000"/>
              </w:rPr>
            </w:pPr>
            <w:r w:rsidRPr="00A37447">
              <w:rPr>
                <w:rFonts w:ascii="Garamond" w:hAnsi="Garamond" w:cs="Arial"/>
                <w:color w:val="000000"/>
              </w:rPr>
              <w:t xml:space="preserve">Aguardamos </w:t>
            </w:r>
            <w:r>
              <w:rPr>
                <w:rFonts w:ascii="Garamond" w:hAnsi="Garamond" w:cs="Arial"/>
                <w:color w:val="000000"/>
              </w:rPr>
              <w:t>manifestação da Promotoria sobre o assunto</w:t>
            </w:r>
          </w:p>
          <w:p w:rsidR="006F7D08" w:rsidRPr="00A37447" w:rsidRDefault="006F7D08" w:rsidP="001556BD">
            <w:pPr>
              <w:pStyle w:val="Cabealho"/>
              <w:tabs>
                <w:tab w:val="clear" w:pos="8504"/>
                <w:tab w:val="right" w:pos="8505"/>
              </w:tabs>
              <w:spacing w:before="120"/>
              <w:rPr>
                <w:rFonts w:ascii="Garamond" w:hAnsi="Garamond" w:cs="Arial"/>
                <w:color w:val="000000"/>
              </w:rPr>
            </w:pPr>
          </w:p>
        </w:tc>
      </w:tr>
      <w:tr w:rsidR="006F7D08" w:rsidRPr="00A37447" w:rsidTr="006F7D08">
        <w:tc>
          <w:tcPr>
            <w:tcW w:w="4820" w:type="dxa"/>
          </w:tcPr>
          <w:p w:rsidR="006F7D08" w:rsidRPr="00A37447" w:rsidRDefault="006F7D08" w:rsidP="00143434">
            <w:pPr>
              <w:pStyle w:val="Cabealho"/>
              <w:spacing w:before="120" w:line="360" w:lineRule="auto"/>
              <w:rPr>
                <w:rFonts w:ascii="Garamond" w:hAnsi="Garamond" w:cs="Arial"/>
                <w:color w:val="000000"/>
              </w:rPr>
            </w:pPr>
            <w:r>
              <w:rPr>
                <w:rFonts w:ascii="Garamond" w:hAnsi="Garamond" w:cs="Arial"/>
                <w:color w:val="000000"/>
              </w:rPr>
              <w:t>(7</w:t>
            </w:r>
            <w:r w:rsidRPr="00A37447">
              <w:rPr>
                <w:rFonts w:ascii="Garamond" w:hAnsi="Garamond" w:cs="Arial"/>
                <w:color w:val="000000"/>
              </w:rPr>
              <w:t>) Divulgação dos atos do Conselho</w:t>
            </w:r>
          </w:p>
        </w:tc>
        <w:tc>
          <w:tcPr>
            <w:tcW w:w="4166" w:type="dxa"/>
          </w:tcPr>
          <w:p w:rsidR="006F7D08" w:rsidRPr="00A37447" w:rsidRDefault="006F7D08" w:rsidP="001556BD">
            <w:pPr>
              <w:pStyle w:val="Cabealho"/>
              <w:tabs>
                <w:tab w:val="clear" w:pos="8504"/>
                <w:tab w:val="right" w:pos="8505"/>
              </w:tabs>
              <w:spacing w:before="120"/>
              <w:rPr>
                <w:rFonts w:ascii="Garamond" w:hAnsi="Garamond" w:cs="Arial"/>
                <w:color w:val="000000"/>
              </w:rPr>
            </w:pPr>
            <w:r>
              <w:rPr>
                <w:rFonts w:ascii="Garamond" w:hAnsi="Garamond" w:cs="Arial"/>
                <w:color w:val="000000"/>
              </w:rPr>
              <w:t>Divulgação, entre os diversos órgãos que atuam na área da Educação Pública no Estado, d</w:t>
            </w:r>
            <w:r w:rsidRPr="00A37447">
              <w:rPr>
                <w:rFonts w:ascii="Garamond" w:hAnsi="Garamond" w:cs="Arial"/>
                <w:color w:val="000000"/>
              </w:rPr>
              <w:t>a composição da nova gestão do Conselho e confirmando seu endereço para correspondência.</w:t>
            </w:r>
          </w:p>
          <w:p w:rsidR="006F7D08" w:rsidRPr="00A37447" w:rsidRDefault="006F7D08" w:rsidP="001556BD">
            <w:pPr>
              <w:pStyle w:val="Cabealho"/>
              <w:tabs>
                <w:tab w:val="clear" w:pos="8504"/>
                <w:tab w:val="right" w:pos="8505"/>
              </w:tabs>
              <w:spacing w:before="120"/>
              <w:rPr>
                <w:rFonts w:ascii="Garamond" w:hAnsi="Garamond" w:cs="Arial"/>
                <w:color w:val="000000"/>
              </w:rPr>
            </w:pPr>
            <w:r w:rsidRPr="00A37447">
              <w:rPr>
                <w:rFonts w:ascii="Garamond" w:hAnsi="Garamond" w:cs="Arial"/>
                <w:color w:val="000000"/>
              </w:rPr>
              <w:t>Criação do calendário de reuniões para 2011</w:t>
            </w:r>
            <w:r>
              <w:rPr>
                <w:rFonts w:ascii="Garamond" w:hAnsi="Garamond" w:cs="Arial"/>
                <w:color w:val="000000"/>
              </w:rPr>
              <w:t>/2012</w:t>
            </w:r>
            <w:r w:rsidRPr="00A37447">
              <w:rPr>
                <w:rFonts w:ascii="Garamond" w:hAnsi="Garamond" w:cs="Arial"/>
                <w:color w:val="000000"/>
              </w:rPr>
              <w:t>.</w:t>
            </w:r>
          </w:p>
          <w:p w:rsidR="006F7D08" w:rsidRPr="00A37447" w:rsidRDefault="006F7D08" w:rsidP="001556BD">
            <w:pPr>
              <w:pStyle w:val="Cabealho"/>
              <w:tabs>
                <w:tab w:val="clear" w:pos="8504"/>
                <w:tab w:val="right" w:pos="8505"/>
              </w:tabs>
              <w:spacing w:before="120"/>
              <w:rPr>
                <w:rFonts w:ascii="Garamond" w:hAnsi="Garamond" w:cs="Arial"/>
                <w:color w:val="000000"/>
              </w:rPr>
            </w:pPr>
            <w:r w:rsidRPr="00A37447">
              <w:rPr>
                <w:rFonts w:ascii="Garamond" w:hAnsi="Garamond" w:cs="Arial"/>
                <w:color w:val="000000"/>
              </w:rPr>
              <w:t>Divulgação, no site da SEEDUC, do calendário de reuniões e cópia das atas.</w:t>
            </w:r>
          </w:p>
          <w:p w:rsidR="006F7D08" w:rsidRPr="00A37447" w:rsidRDefault="006F7D08" w:rsidP="001556BD">
            <w:pPr>
              <w:pStyle w:val="Cabealho"/>
              <w:tabs>
                <w:tab w:val="clear" w:pos="8504"/>
                <w:tab w:val="right" w:pos="8505"/>
              </w:tabs>
              <w:spacing w:before="120"/>
              <w:rPr>
                <w:rFonts w:ascii="Garamond" w:hAnsi="Garamond" w:cs="Arial"/>
                <w:color w:val="000000"/>
              </w:rPr>
            </w:pPr>
            <w:r w:rsidRPr="00A37447">
              <w:rPr>
                <w:rFonts w:ascii="Garamond" w:hAnsi="Garamond" w:cs="Arial"/>
                <w:color w:val="000000"/>
              </w:rPr>
              <w:t>Elaboração do relatório de gestão semestral.</w:t>
            </w:r>
          </w:p>
          <w:p w:rsidR="006F7D08" w:rsidRPr="00A37447" w:rsidRDefault="006F7D08" w:rsidP="001556BD">
            <w:pPr>
              <w:pStyle w:val="Cabealho"/>
              <w:tabs>
                <w:tab w:val="clear" w:pos="8504"/>
                <w:tab w:val="right" w:pos="8505"/>
              </w:tabs>
              <w:spacing w:before="120"/>
              <w:rPr>
                <w:rFonts w:ascii="Garamond" w:hAnsi="Garamond" w:cs="Arial"/>
                <w:color w:val="000000"/>
              </w:rPr>
            </w:pPr>
          </w:p>
        </w:tc>
      </w:tr>
      <w:tr w:rsidR="006F7D08" w:rsidRPr="00A37447" w:rsidTr="006F7D08">
        <w:trPr>
          <w:trHeight w:val="1418"/>
        </w:trPr>
        <w:tc>
          <w:tcPr>
            <w:tcW w:w="4820" w:type="dxa"/>
          </w:tcPr>
          <w:p w:rsidR="006F7D08" w:rsidRPr="00A37447" w:rsidRDefault="006F7D08" w:rsidP="00143434">
            <w:pPr>
              <w:pStyle w:val="Cabealho"/>
              <w:spacing w:before="120"/>
              <w:ind w:left="536" w:hanging="536"/>
              <w:rPr>
                <w:rFonts w:ascii="Garamond" w:hAnsi="Garamond" w:cs="Arial"/>
                <w:color w:val="000000"/>
              </w:rPr>
            </w:pPr>
            <w:r>
              <w:rPr>
                <w:rFonts w:ascii="Garamond" w:hAnsi="Garamond" w:cs="Arial"/>
                <w:color w:val="000000"/>
              </w:rPr>
              <w:t>(8</w:t>
            </w:r>
            <w:r w:rsidRPr="00A37447">
              <w:rPr>
                <w:rFonts w:ascii="Garamond" w:hAnsi="Garamond" w:cs="Arial"/>
                <w:color w:val="000000"/>
              </w:rPr>
              <w:t xml:space="preserve">) Programa Nacional de apoio ao Transporte </w:t>
            </w:r>
            <w:proofErr w:type="gramStart"/>
            <w:r w:rsidRPr="00A37447">
              <w:rPr>
                <w:rFonts w:ascii="Garamond" w:hAnsi="Garamond" w:cs="Arial"/>
                <w:color w:val="000000"/>
              </w:rPr>
              <w:t>Escolar –PNATE</w:t>
            </w:r>
            <w:proofErr w:type="gramEnd"/>
            <w:r w:rsidRPr="00A37447">
              <w:rPr>
                <w:rFonts w:ascii="Garamond" w:hAnsi="Garamond" w:cs="Arial"/>
                <w:color w:val="000000"/>
              </w:rPr>
              <w:t xml:space="preserve">/2010 </w:t>
            </w:r>
          </w:p>
        </w:tc>
        <w:tc>
          <w:tcPr>
            <w:tcW w:w="4166" w:type="dxa"/>
          </w:tcPr>
          <w:p w:rsidR="006F7D08" w:rsidRPr="00A37447" w:rsidRDefault="006F7D08" w:rsidP="001556BD">
            <w:pPr>
              <w:pStyle w:val="Cabealho"/>
              <w:tabs>
                <w:tab w:val="clear" w:pos="8504"/>
                <w:tab w:val="right" w:pos="8505"/>
              </w:tabs>
              <w:spacing w:before="120"/>
              <w:rPr>
                <w:rFonts w:ascii="Garamond" w:hAnsi="Garamond" w:cs="Arial"/>
                <w:color w:val="000000"/>
              </w:rPr>
            </w:pPr>
            <w:r w:rsidRPr="00A37447">
              <w:rPr>
                <w:rFonts w:ascii="Garamond" w:hAnsi="Garamond" w:cs="Arial"/>
                <w:color w:val="000000"/>
              </w:rPr>
              <w:t>Parecer do Conselho quanto à prestação de contas do Programa regular, sem ressalvas.</w:t>
            </w:r>
          </w:p>
        </w:tc>
      </w:tr>
      <w:tr w:rsidR="006F7D08" w:rsidRPr="00A37447" w:rsidTr="006F7D08">
        <w:tc>
          <w:tcPr>
            <w:tcW w:w="4820" w:type="dxa"/>
          </w:tcPr>
          <w:p w:rsidR="006F7D08" w:rsidRPr="00D84FCA" w:rsidRDefault="006F7D08" w:rsidP="00143434">
            <w:pPr>
              <w:pStyle w:val="Cabealho"/>
              <w:spacing w:before="120"/>
              <w:ind w:left="716" w:hanging="716"/>
              <w:rPr>
                <w:rFonts w:ascii="Garamond" w:hAnsi="Garamond" w:cs="Arial"/>
                <w:color w:val="000000"/>
              </w:rPr>
            </w:pPr>
            <w:r>
              <w:rPr>
                <w:rFonts w:ascii="Garamond" w:hAnsi="Garamond" w:cs="Arial"/>
                <w:color w:val="000000"/>
              </w:rPr>
              <w:t xml:space="preserve">(9) </w:t>
            </w:r>
            <w:r w:rsidRPr="00D84FCA">
              <w:rPr>
                <w:rFonts w:ascii="Garamond" w:hAnsi="Garamond" w:cs="Arial"/>
                <w:color w:val="000000"/>
              </w:rPr>
              <w:t>Programa Especial de Recuperação da Rede Física Escolar Pública</w:t>
            </w:r>
          </w:p>
        </w:tc>
        <w:tc>
          <w:tcPr>
            <w:tcW w:w="4166" w:type="dxa"/>
          </w:tcPr>
          <w:p w:rsidR="006F7D08" w:rsidRDefault="006F7D08" w:rsidP="00D411D6">
            <w:pPr>
              <w:pStyle w:val="Cabealho"/>
              <w:tabs>
                <w:tab w:val="clear" w:pos="8504"/>
                <w:tab w:val="right" w:pos="8505"/>
              </w:tabs>
              <w:spacing w:before="120"/>
              <w:rPr>
                <w:rFonts w:ascii="Garamond" w:hAnsi="Garamond" w:cs="Arial"/>
                <w:color w:val="000000"/>
              </w:rPr>
            </w:pPr>
            <w:r>
              <w:rPr>
                <w:rFonts w:ascii="Garamond" w:hAnsi="Garamond" w:cs="Arial"/>
                <w:color w:val="000000"/>
              </w:rPr>
              <w:t>Realizada Sessão Extraordinária somente para tratar deste assunto.</w:t>
            </w:r>
          </w:p>
          <w:p w:rsidR="006F7D08" w:rsidRDefault="006F7D08" w:rsidP="00D411D6">
            <w:pPr>
              <w:pStyle w:val="Cabealho"/>
              <w:tabs>
                <w:tab w:val="clear" w:pos="8504"/>
                <w:tab w:val="right" w:pos="8505"/>
              </w:tabs>
              <w:spacing w:before="120"/>
              <w:rPr>
                <w:rFonts w:ascii="Garamond" w:hAnsi="Garamond" w:cs="Arial"/>
                <w:color w:val="000000"/>
              </w:rPr>
            </w:pPr>
            <w:r>
              <w:rPr>
                <w:rFonts w:ascii="Garamond" w:hAnsi="Garamond" w:cs="Arial"/>
                <w:color w:val="000000"/>
              </w:rPr>
              <w:t>Aprovação tácita do remanejamento de recursos entre as obras previstas, promovida pela nova gestão da Secretaria.</w:t>
            </w:r>
          </w:p>
          <w:p w:rsidR="006F7D08" w:rsidRDefault="006F7D08" w:rsidP="00D411D6">
            <w:pPr>
              <w:pStyle w:val="Cabealho"/>
              <w:tabs>
                <w:tab w:val="clear" w:pos="8504"/>
                <w:tab w:val="right" w:pos="8505"/>
              </w:tabs>
              <w:spacing w:before="120"/>
              <w:rPr>
                <w:rFonts w:ascii="Garamond" w:hAnsi="Garamond" w:cs="Arial"/>
                <w:color w:val="000000"/>
              </w:rPr>
            </w:pPr>
            <w:r>
              <w:rPr>
                <w:rFonts w:ascii="Garamond" w:hAnsi="Garamond" w:cs="Arial"/>
                <w:color w:val="000000"/>
              </w:rPr>
              <w:t>Aguardando autorização para prorrogação do prazo para prestação de conta do programa.</w:t>
            </w:r>
          </w:p>
          <w:p w:rsidR="006F7D08" w:rsidRDefault="006F7D08" w:rsidP="00D411D6">
            <w:pPr>
              <w:pStyle w:val="Cabealho"/>
              <w:tabs>
                <w:tab w:val="clear" w:pos="8504"/>
                <w:tab w:val="right" w:pos="8505"/>
              </w:tabs>
              <w:spacing w:before="120"/>
              <w:rPr>
                <w:rFonts w:ascii="Garamond" w:hAnsi="Garamond" w:cs="Arial"/>
                <w:color w:val="000000"/>
              </w:rPr>
            </w:pPr>
            <w:r>
              <w:rPr>
                <w:rFonts w:ascii="Garamond" w:hAnsi="Garamond" w:cs="Arial"/>
                <w:color w:val="000000"/>
              </w:rPr>
              <w:t>Com a prorrogação concedida pelo FNDE, o Conselho vai acompanhar de perto a retomada do mesmo pelo Estado.</w:t>
            </w:r>
          </w:p>
          <w:p w:rsidR="006F7D08" w:rsidRPr="00A37447" w:rsidRDefault="006F7D08" w:rsidP="00D411D6">
            <w:pPr>
              <w:pStyle w:val="Cabealho"/>
              <w:tabs>
                <w:tab w:val="clear" w:pos="8504"/>
                <w:tab w:val="right" w:pos="8505"/>
              </w:tabs>
              <w:spacing w:before="120"/>
              <w:rPr>
                <w:rFonts w:ascii="Garamond" w:hAnsi="Garamond" w:cs="Arial"/>
                <w:color w:val="000000"/>
              </w:rPr>
            </w:pPr>
          </w:p>
        </w:tc>
      </w:tr>
    </w:tbl>
    <w:p w:rsidR="006F7D08" w:rsidRDefault="006F7D08">
      <w:r>
        <w:br w:type="page"/>
      </w:r>
    </w:p>
    <w:tbl>
      <w:tblPr>
        <w:tblW w:w="8986" w:type="dxa"/>
        <w:tblInd w:w="-176" w:type="dxa"/>
        <w:tblBorders>
          <w:top w:val="double" w:sz="4" w:space="0" w:color="auto"/>
          <w:bottom w:val="double" w:sz="4" w:space="0" w:color="auto"/>
          <w:insideV w:val="single" w:sz="4" w:space="0" w:color="auto"/>
        </w:tblBorders>
        <w:tblLook w:val="04A0"/>
      </w:tblPr>
      <w:tblGrid>
        <w:gridCol w:w="4820"/>
        <w:gridCol w:w="4166"/>
      </w:tblGrid>
      <w:tr w:rsidR="006F7D08" w:rsidRPr="00A37447" w:rsidTr="006F7D08">
        <w:tc>
          <w:tcPr>
            <w:tcW w:w="4820" w:type="dxa"/>
            <w:tcBorders>
              <w:top w:val="double" w:sz="4" w:space="0" w:color="auto"/>
              <w:bottom w:val="double" w:sz="4" w:space="0" w:color="auto"/>
            </w:tcBorders>
          </w:tcPr>
          <w:p w:rsidR="006F7D08" w:rsidRPr="00A37447" w:rsidRDefault="006F7D08" w:rsidP="00AF135F">
            <w:pPr>
              <w:pStyle w:val="Cabealho"/>
              <w:tabs>
                <w:tab w:val="clear" w:pos="8504"/>
                <w:tab w:val="right" w:pos="8505"/>
              </w:tabs>
              <w:spacing w:before="120" w:line="360" w:lineRule="auto"/>
              <w:jc w:val="center"/>
              <w:rPr>
                <w:rFonts w:ascii="Garamond" w:hAnsi="Garamond" w:cs="Arial"/>
                <w:color w:val="000000"/>
              </w:rPr>
            </w:pPr>
            <w:r w:rsidRPr="00A37447">
              <w:rPr>
                <w:rFonts w:ascii="Garamond" w:hAnsi="Garamond" w:cs="Arial"/>
                <w:color w:val="000000"/>
              </w:rPr>
              <w:lastRenderedPageBreak/>
              <w:t>ASSUNTO</w:t>
            </w:r>
          </w:p>
        </w:tc>
        <w:tc>
          <w:tcPr>
            <w:tcW w:w="4166" w:type="dxa"/>
            <w:tcBorders>
              <w:top w:val="double" w:sz="4" w:space="0" w:color="auto"/>
              <w:bottom w:val="double" w:sz="4" w:space="0" w:color="auto"/>
            </w:tcBorders>
          </w:tcPr>
          <w:p w:rsidR="006F7D08" w:rsidRPr="00A37447" w:rsidRDefault="006F7D08" w:rsidP="00AF135F">
            <w:pPr>
              <w:pStyle w:val="Cabealho"/>
              <w:tabs>
                <w:tab w:val="clear" w:pos="8504"/>
                <w:tab w:val="right" w:pos="8505"/>
              </w:tabs>
              <w:spacing w:before="120" w:line="360" w:lineRule="auto"/>
              <w:jc w:val="center"/>
              <w:rPr>
                <w:rFonts w:ascii="Garamond" w:hAnsi="Garamond" w:cs="Arial"/>
                <w:color w:val="000000"/>
              </w:rPr>
            </w:pPr>
            <w:r w:rsidRPr="00A37447">
              <w:rPr>
                <w:rFonts w:ascii="Garamond" w:hAnsi="Garamond" w:cs="Arial"/>
                <w:color w:val="000000"/>
              </w:rPr>
              <w:t>DELIBERAÇÃO</w:t>
            </w:r>
          </w:p>
        </w:tc>
      </w:tr>
      <w:tr w:rsidR="006F7D08" w:rsidRPr="00A37447" w:rsidTr="006F7D08">
        <w:tc>
          <w:tcPr>
            <w:tcW w:w="4820" w:type="dxa"/>
            <w:tcBorders>
              <w:top w:val="double" w:sz="4" w:space="0" w:color="auto"/>
            </w:tcBorders>
          </w:tcPr>
          <w:p w:rsidR="006F7D08" w:rsidRPr="00A37447" w:rsidRDefault="006F7D08" w:rsidP="005A2779">
            <w:pPr>
              <w:pStyle w:val="Cabealho"/>
              <w:spacing w:before="120"/>
              <w:ind w:left="460" w:hanging="460"/>
              <w:rPr>
                <w:rFonts w:ascii="Garamond" w:hAnsi="Garamond" w:cs="Arial"/>
                <w:color w:val="000000"/>
              </w:rPr>
            </w:pPr>
            <w:r>
              <w:rPr>
                <w:rFonts w:ascii="Garamond" w:hAnsi="Garamond" w:cs="Arial"/>
                <w:color w:val="000000"/>
              </w:rPr>
              <w:t xml:space="preserve">(10) </w:t>
            </w:r>
            <w:r w:rsidRPr="00D84FCA">
              <w:rPr>
                <w:rFonts w:ascii="Garamond" w:hAnsi="Garamond" w:cs="Arial"/>
                <w:color w:val="000000"/>
              </w:rPr>
              <w:t>Programa Especial de Recuperação da Rede Física Escolar Pública</w:t>
            </w:r>
            <w:r>
              <w:rPr>
                <w:rFonts w:ascii="Garamond" w:hAnsi="Garamond" w:cs="Arial"/>
                <w:color w:val="000000"/>
              </w:rPr>
              <w:t xml:space="preserve"> – Região Serrana </w:t>
            </w:r>
          </w:p>
        </w:tc>
        <w:tc>
          <w:tcPr>
            <w:tcW w:w="4166" w:type="dxa"/>
            <w:tcBorders>
              <w:top w:val="double" w:sz="4" w:space="0" w:color="auto"/>
            </w:tcBorders>
          </w:tcPr>
          <w:p w:rsidR="006F7D08" w:rsidRDefault="006F7D08" w:rsidP="001556BD">
            <w:pPr>
              <w:pStyle w:val="Cabealho"/>
              <w:tabs>
                <w:tab w:val="clear" w:pos="8504"/>
                <w:tab w:val="right" w:pos="8505"/>
              </w:tabs>
              <w:spacing w:before="120"/>
              <w:rPr>
                <w:rFonts w:ascii="Garamond" w:hAnsi="Garamond" w:cs="Arial"/>
                <w:color w:val="000000"/>
              </w:rPr>
            </w:pPr>
            <w:r>
              <w:rPr>
                <w:rFonts w:ascii="Garamond" w:hAnsi="Garamond" w:cs="Arial"/>
                <w:color w:val="000000"/>
              </w:rPr>
              <w:t>Será adotado o mesmo procedimento do Programa acima.</w:t>
            </w:r>
          </w:p>
          <w:p w:rsidR="006F7D08" w:rsidRPr="00A37447" w:rsidRDefault="006F7D08" w:rsidP="001556BD">
            <w:pPr>
              <w:pStyle w:val="Cabealho"/>
              <w:tabs>
                <w:tab w:val="clear" w:pos="8504"/>
                <w:tab w:val="right" w:pos="8505"/>
              </w:tabs>
              <w:spacing w:before="120"/>
              <w:rPr>
                <w:rFonts w:ascii="Garamond" w:hAnsi="Garamond" w:cs="Arial"/>
                <w:color w:val="000000"/>
              </w:rPr>
            </w:pPr>
          </w:p>
        </w:tc>
      </w:tr>
      <w:tr w:rsidR="006F7D08" w:rsidRPr="00A37447" w:rsidTr="006F7D08">
        <w:tc>
          <w:tcPr>
            <w:tcW w:w="4820" w:type="dxa"/>
          </w:tcPr>
          <w:p w:rsidR="006F7D08" w:rsidRPr="00A37447" w:rsidRDefault="006F7D08" w:rsidP="005A2779">
            <w:pPr>
              <w:pStyle w:val="Cabealho"/>
              <w:spacing w:before="120"/>
              <w:ind w:left="460" w:hanging="460"/>
              <w:rPr>
                <w:rFonts w:ascii="Garamond" w:hAnsi="Garamond" w:cs="Arial"/>
                <w:color w:val="000000"/>
              </w:rPr>
            </w:pPr>
            <w:r>
              <w:rPr>
                <w:rFonts w:ascii="Garamond" w:hAnsi="Garamond" w:cs="Arial"/>
                <w:color w:val="000000"/>
              </w:rPr>
              <w:t xml:space="preserve">(11) Plano Plurianual 2012 – 2015: Planejamento Estratégico da SEEDUC </w:t>
            </w:r>
          </w:p>
        </w:tc>
        <w:tc>
          <w:tcPr>
            <w:tcW w:w="4166" w:type="dxa"/>
          </w:tcPr>
          <w:p w:rsidR="002C17E3" w:rsidRDefault="002C17E3" w:rsidP="002C17E3">
            <w:pPr>
              <w:pStyle w:val="Cabealho"/>
              <w:spacing w:before="120"/>
              <w:rPr>
                <w:rFonts w:ascii="Garamond" w:hAnsi="Garamond" w:cs="Arial"/>
                <w:color w:val="000000"/>
              </w:rPr>
            </w:pPr>
            <w:r>
              <w:rPr>
                <w:rFonts w:ascii="Garamond" w:hAnsi="Garamond" w:cs="Arial"/>
                <w:color w:val="000000"/>
              </w:rPr>
              <w:t>Foi realizada uma reunião extraordinária para a apresentação do Plano com as metas e prioridades da Secretaria para a nova gestão.</w:t>
            </w:r>
          </w:p>
          <w:p w:rsidR="006F7D08" w:rsidRPr="00A37447" w:rsidRDefault="006F7D08" w:rsidP="00D411D6">
            <w:pPr>
              <w:pStyle w:val="Cabealho"/>
              <w:tabs>
                <w:tab w:val="clear" w:pos="8504"/>
                <w:tab w:val="right" w:pos="8505"/>
              </w:tabs>
              <w:spacing w:before="120"/>
              <w:jc w:val="center"/>
              <w:rPr>
                <w:rFonts w:ascii="Garamond" w:hAnsi="Garamond" w:cs="Arial"/>
                <w:color w:val="000000"/>
              </w:rPr>
            </w:pPr>
          </w:p>
        </w:tc>
      </w:tr>
      <w:tr w:rsidR="006F7D08" w:rsidRPr="00A37447" w:rsidTr="006F7D08">
        <w:tc>
          <w:tcPr>
            <w:tcW w:w="4820" w:type="dxa"/>
          </w:tcPr>
          <w:p w:rsidR="006F7D08" w:rsidRDefault="006F7D08" w:rsidP="005A2779">
            <w:pPr>
              <w:pStyle w:val="Cabealho"/>
              <w:spacing w:before="120"/>
              <w:ind w:left="460" w:hanging="460"/>
              <w:rPr>
                <w:rFonts w:ascii="Garamond" w:hAnsi="Garamond" w:cs="Arial"/>
                <w:color w:val="000000"/>
              </w:rPr>
            </w:pPr>
            <w:r>
              <w:rPr>
                <w:rFonts w:ascii="Garamond" w:hAnsi="Garamond" w:cs="Arial"/>
                <w:color w:val="000000"/>
              </w:rPr>
              <w:t>(12) Censo Escolar 2011</w:t>
            </w:r>
          </w:p>
        </w:tc>
        <w:tc>
          <w:tcPr>
            <w:tcW w:w="4166" w:type="dxa"/>
          </w:tcPr>
          <w:p w:rsidR="006F7D08" w:rsidRDefault="006F7D08" w:rsidP="001556BD">
            <w:pPr>
              <w:pStyle w:val="Cabealho"/>
              <w:tabs>
                <w:tab w:val="clear" w:pos="8504"/>
                <w:tab w:val="right" w:pos="8505"/>
              </w:tabs>
              <w:spacing w:before="120"/>
              <w:rPr>
                <w:rFonts w:ascii="Garamond" w:hAnsi="Garamond" w:cs="Arial"/>
                <w:color w:val="000000"/>
              </w:rPr>
            </w:pPr>
            <w:r>
              <w:rPr>
                <w:rFonts w:ascii="Garamond" w:hAnsi="Garamond" w:cs="Arial"/>
                <w:color w:val="000000"/>
              </w:rPr>
              <w:t>Debate com os profissionais responsáveis pela elaboração do mesmo na SEEDUC.</w:t>
            </w:r>
          </w:p>
          <w:p w:rsidR="006F7D08" w:rsidRDefault="006F7D08" w:rsidP="00143434">
            <w:pPr>
              <w:pStyle w:val="Cabealho"/>
              <w:spacing w:before="120"/>
              <w:rPr>
                <w:rFonts w:ascii="Garamond" w:hAnsi="Garamond" w:cs="Arial"/>
                <w:color w:val="000000"/>
              </w:rPr>
            </w:pPr>
          </w:p>
        </w:tc>
      </w:tr>
      <w:tr w:rsidR="006F7D08" w:rsidRPr="00A37447" w:rsidTr="006F7D08">
        <w:tc>
          <w:tcPr>
            <w:tcW w:w="4820" w:type="dxa"/>
          </w:tcPr>
          <w:p w:rsidR="006F7D08" w:rsidRPr="00A37447" w:rsidRDefault="006F7D08" w:rsidP="005A2779">
            <w:pPr>
              <w:pStyle w:val="Cabealho"/>
              <w:spacing w:before="120"/>
              <w:ind w:left="460" w:hanging="460"/>
              <w:rPr>
                <w:rFonts w:ascii="Garamond" w:hAnsi="Garamond" w:cs="Arial"/>
                <w:color w:val="000000"/>
              </w:rPr>
            </w:pPr>
            <w:r>
              <w:rPr>
                <w:rFonts w:ascii="Garamond" w:hAnsi="Garamond" w:cs="Arial"/>
                <w:color w:val="000000"/>
              </w:rPr>
              <w:t>(13) Programa de visita às escolas estaduais</w:t>
            </w:r>
          </w:p>
        </w:tc>
        <w:tc>
          <w:tcPr>
            <w:tcW w:w="4166" w:type="dxa"/>
          </w:tcPr>
          <w:p w:rsidR="006F7D08" w:rsidRDefault="006F7D08" w:rsidP="001556BD">
            <w:pPr>
              <w:pStyle w:val="Cabealho"/>
              <w:tabs>
                <w:tab w:val="clear" w:pos="8504"/>
                <w:tab w:val="right" w:pos="8505"/>
              </w:tabs>
              <w:spacing w:before="120"/>
              <w:rPr>
                <w:rFonts w:ascii="Garamond" w:hAnsi="Garamond" w:cs="Arial"/>
                <w:color w:val="000000"/>
              </w:rPr>
            </w:pPr>
            <w:r>
              <w:rPr>
                <w:rFonts w:ascii="Garamond" w:hAnsi="Garamond" w:cs="Arial"/>
                <w:color w:val="000000"/>
              </w:rPr>
              <w:t xml:space="preserve">Visita à Escola Estadual Joel de Oliveira, ao Instituto de Educação Roberto da Silveira e à Escola Estadual Jorge </w:t>
            </w:r>
            <w:proofErr w:type="spellStart"/>
            <w:r>
              <w:rPr>
                <w:rFonts w:ascii="Garamond" w:hAnsi="Garamond" w:cs="Arial"/>
                <w:color w:val="000000"/>
              </w:rPr>
              <w:t>Zarur</w:t>
            </w:r>
            <w:proofErr w:type="spellEnd"/>
            <w:r>
              <w:rPr>
                <w:rFonts w:ascii="Garamond" w:hAnsi="Garamond" w:cs="Arial"/>
                <w:color w:val="000000"/>
              </w:rPr>
              <w:t xml:space="preserve">. </w:t>
            </w:r>
          </w:p>
          <w:p w:rsidR="006F7D08" w:rsidRDefault="006F7D08" w:rsidP="001556BD">
            <w:pPr>
              <w:pStyle w:val="Cabealho"/>
              <w:tabs>
                <w:tab w:val="clear" w:pos="8504"/>
                <w:tab w:val="right" w:pos="8505"/>
              </w:tabs>
              <w:spacing w:before="120"/>
              <w:rPr>
                <w:rFonts w:ascii="Garamond" w:hAnsi="Garamond" w:cs="Arial"/>
                <w:color w:val="000000"/>
              </w:rPr>
            </w:pPr>
            <w:r>
              <w:rPr>
                <w:rFonts w:ascii="Garamond" w:hAnsi="Garamond" w:cs="Arial"/>
                <w:color w:val="000000"/>
              </w:rPr>
              <w:t>Estas visitas foram documentadas em relatórios que foram encaminhados ao Secretário de Educação para ciência dos pontos fortes e fracos encontrados nestas unidades.</w:t>
            </w:r>
          </w:p>
          <w:p w:rsidR="006F7D08" w:rsidRDefault="006F7D08" w:rsidP="001556BD">
            <w:pPr>
              <w:pStyle w:val="Cabealho"/>
              <w:tabs>
                <w:tab w:val="clear" w:pos="8504"/>
                <w:tab w:val="right" w:pos="8505"/>
              </w:tabs>
              <w:spacing w:before="120"/>
              <w:rPr>
                <w:rFonts w:ascii="Garamond" w:hAnsi="Garamond" w:cs="Arial"/>
                <w:color w:val="000000"/>
              </w:rPr>
            </w:pPr>
          </w:p>
          <w:p w:rsidR="006F7D08" w:rsidRPr="00A37447" w:rsidRDefault="006F7D08" w:rsidP="001556BD">
            <w:pPr>
              <w:pStyle w:val="Cabealho"/>
              <w:tabs>
                <w:tab w:val="clear" w:pos="8504"/>
                <w:tab w:val="right" w:pos="8505"/>
              </w:tabs>
              <w:spacing w:before="120"/>
              <w:rPr>
                <w:rFonts w:ascii="Garamond" w:hAnsi="Garamond" w:cs="Arial"/>
                <w:color w:val="000000"/>
              </w:rPr>
            </w:pPr>
          </w:p>
        </w:tc>
      </w:tr>
    </w:tbl>
    <w:p w:rsidR="006F7D08" w:rsidRPr="00F50A95" w:rsidRDefault="006F7D08" w:rsidP="00F50A95">
      <w:pPr>
        <w:pStyle w:val="Cabealho"/>
        <w:tabs>
          <w:tab w:val="clear" w:pos="8504"/>
          <w:tab w:val="right" w:pos="8505"/>
        </w:tabs>
        <w:spacing w:before="120" w:line="360" w:lineRule="auto"/>
        <w:jc w:val="both"/>
        <w:rPr>
          <w:rFonts w:ascii="Garamond" w:hAnsi="Garamond" w:cs="Arial"/>
          <w:color w:val="000000"/>
        </w:rPr>
      </w:pPr>
    </w:p>
    <w:p w:rsidR="004C423A" w:rsidRDefault="004C423A" w:rsidP="004C423A">
      <w:r>
        <w:t>N</w:t>
      </w:r>
      <w:r w:rsidRPr="006F3278">
        <w:t xml:space="preserve">ada mais havendo a tratar, o Senhor Presidente deu por encerrada </w:t>
      </w:r>
      <w:proofErr w:type="gramStart"/>
      <w:r w:rsidRPr="006F3278">
        <w:t>a</w:t>
      </w:r>
      <w:proofErr w:type="gramEnd"/>
      <w:r w:rsidRPr="006F3278">
        <w:t xml:space="preserve"> sessão, lavr</w:t>
      </w:r>
      <w:r>
        <w:t>ou</w:t>
      </w:r>
      <w:r w:rsidRPr="006F3278">
        <w:t xml:space="preserve"> a presente Ata, assinada pelos Conselheiros na folha de presença, em anexo.</w:t>
      </w:r>
      <w:bookmarkStart w:id="0" w:name="_GoBack"/>
      <w:bookmarkEnd w:id="0"/>
    </w:p>
    <w:p w:rsidR="0028291E" w:rsidRDefault="004C423A" w:rsidP="002D19FF">
      <w:r>
        <w:t xml:space="preserve"> </w:t>
      </w:r>
    </w:p>
    <w:p w:rsidR="00453C26" w:rsidRDefault="00453C26" w:rsidP="002D19FF"/>
    <w:p w:rsidR="00453C26" w:rsidRPr="00FC7AEC" w:rsidRDefault="00453C26" w:rsidP="002D19FF"/>
    <w:p w:rsidR="00430B0D" w:rsidRPr="00CB3336" w:rsidRDefault="00430B0D" w:rsidP="00A72C38">
      <w:pPr>
        <w:pStyle w:val="SemEspaamento"/>
        <w:jc w:val="right"/>
        <w:rPr>
          <w:rFonts w:ascii="Book Antiqua" w:hAnsi="Book Antiqua"/>
          <w:i/>
          <w:sz w:val="24"/>
          <w:szCs w:val="24"/>
        </w:rPr>
      </w:pPr>
      <w:r w:rsidRPr="00A404A2">
        <w:rPr>
          <w:rFonts w:ascii="Book Antiqua" w:hAnsi="Book Antiqua"/>
          <w:sz w:val="24"/>
          <w:szCs w:val="24"/>
        </w:rPr>
        <w:t xml:space="preserve">Rio de Janeiro, </w:t>
      </w:r>
      <w:r w:rsidR="00A72C38">
        <w:rPr>
          <w:rFonts w:ascii="Book Antiqua" w:hAnsi="Book Antiqua"/>
          <w:sz w:val="24"/>
          <w:szCs w:val="24"/>
        </w:rPr>
        <w:t>1</w:t>
      </w:r>
      <w:r w:rsidR="00F85FAC">
        <w:rPr>
          <w:rFonts w:ascii="Book Antiqua" w:hAnsi="Book Antiqua"/>
          <w:sz w:val="24"/>
          <w:szCs w:val="24"/>
        </w:rPr>
        <w:t>1</w:t>
      </w:r>
      <w:r w:rsidR="00A72C38">
        <w:rPr>
          <w:rFonts w:ascii="Book Antiqua" w:hAnsi="Book Antiqua"/>
          <w:sz w:val="24"/>
          <w:szCs w:val="24"/>
        </w:rPr>
        <w:t xml:space="preserve"> de </w:t>
      </w:r>
      <w:r w:rsidR="00F85FAC">
        <w:rPr>
          <w:rFonts w:ascii="Book Antiqua" w:hAnsi="Book Antiqua"/>
          <w:sz w:val="24"/>
          <w:szCs w:val="24"/>
        </w:rPr>
        <w:t>abril</w:t>
      </w:r>
      <w:r w:rsidR="00A72C38">
        <w:rPr>
          <w:rFonts w:ascii="Book Antiqua" w:hAnsi="Book Antiqua"/>
          <w:sz w:val="24"/>
          <w:szCs w:val="24"/>
        </w:rPr>
        <w:t xml:space="preserve"> de 2012</w:t>
      </w:r>
    </w:p>
    <w:p w:rsidR="00430B0D" w:rsidRDefault="00430B0D" w:rsidP="00430B0D">
      <w:pPr>
        <w:pStyle w:val="SemEspaamento"/>
        <w:rPr>
          <w:rFonts w:ascii="Book Antiqua" w:hAnsi="Book Antiqua"/>
          <w:i/>
          <w:sz w:val="24"/>
          <w:szCs w:val="24"/>
        </w:rPr>
      </w:pPr>
    </w:p>
    <w:p w:rsidR="004C423A" w:rsidRDefault="004C423A" w:rsidP="00430B0D">
      <w:pPr>
        <w:pStyle w:val="SemEspaamento"/>
        <w:rPr>
          <w:rFonts w:ascii="Book Antiqua" w:hAnsi="Book Antiqua"/>
          <w:i/>
          <w:sz w:val="24"/>
          <w:szCs w:val="24"/>
        </w:rPr>
      </w:pPr>
    </w:p>
    <w:p w:rsidR="004C423A" w:rsidRPr="00CB3336" w:rsidRDefault="004C423A" w:rsidP="00430B0D">
      <w:pPr>
        <w:pStyle w:val="SemEspaamento"/>
        <w:rPr>
          <w:rFonts w:ascii="Book Antiqua" w:hAnsi="Book Antiqua"/>
          <w:i/>
          <w:sz w:val="24"/>
          <w:szCs w:val="24"/>
        </w:rPr>
      </w:pPr>
    </w:p>
    <w:p w:rsidR="00430B0D" w:rsidRDefault="00430B0D" w:rsidP="00430B0D">
      <w:pPr>
        <w:pStyle w:val="SemEspaamento"/>
        <w:rPr>
          <w:rFonts w:ascii="Book Antiqua" w:hAnsi="Book Antiqua"/>
          <w:sz w:val="24"/>
          <w:szCs w:val="24"/>
        </w:rPr>
      </w:pPr>
    </w:p>
    <w:p w:rsidR="00430B0D" w:rsidRPr="00A404A2" w:rsidRDefault="00430B0D" w:rsidP="00430B0D">
      <w:pPr>
        <w:pStyle w:val="SemEspaamento"/>
        <w:rPr>
          <w:rFonts w:ascii="Book Antiqua" w:hAnsi="Book Antiqua"/>
          <w:sz w:val="24"/>
          <w:szCs w:val="24"/>
        </w:rPr>
      </w:pPr>
      <w:r w:rsidRPr="00A404A2">
        <w:rPr>
          <w:rFonts w:ascii="Book Antiqua" w:hAnsi="Book Antiqua"/>
          <w:sz w:val="24"/>
          <w:szCs w:val="24"/>
        </w:rPr>
        <w:t xml:space="preserve">Marco Antonio Rosa Silva    </w:t>
      </w:r>
      <w:r w:rsidRPr="00A404A2">
        <w:rPr>
          <w:rFonts w:ascii="Book Antiqua" w:hAnsi="Book Antiqua"/>
          <w:sz w:val="24"/>
          <w:szCs w:val="24"/>
        </w:rPr>
        <w:tab/>
      </w:r>
      <w:r w:rsidRPr="00A404A2">
        <w:rPr>
          <w:rFonts w:ascii="Book Antiqua" w:hAnsi="Book Antiqua"/>
          <w:sz w:val="24"/>
          <w:szCs w:val="24"/>
        </w:rPr>
        <w:tab/>
      </w:r>
      <w:r w:rsidRPr="00A404A2">
        <w:rPr>
          <w:rFonts w:ascii="Book Antiqua" w:hAnsi="Book Antiqua"/>
          <w:sz w:val="24"/>
          <w:szCs w:val="24"/>
        </w:rPr>
        <w:tab/>
        <w:t xml:space="preserve">          Rita Maria C. Guimarães                                                               </w:t>
      </w:r>
    </w:p>
    <w:p w:rsidR="00430B0D" w:rsidRDefault="00430B0D" w:rsidP="00430B0D">
      <w:pPr>
        <w:pStyle w:val="SemEspaamento"/>
        <w:rPr>
          <w:rFonts w:ascii="Book Antiqua" w:hAnsi="Book Antiqua"/>
          <w:sz w:val="24"/>
          <w:szCs w:val="24"/>
        </w:rPr>
      </w:pPr>
      <w:r w:rsidRPr="00A404A2">
        <w:rPr>
          <w:rFonts w:ascii="Book Antiqua" w:hAnsi="Book Antiqua"/>
          <w:sz w:val="24"/>
          <w:szCs w:val="24"/>
        </w:rPr>
        <w:t xml:space="preserve">    Presidente                                                                         Secretária</w:t>
      </w:r>
    </w:p>
    <w:p w:rsidR="00430B0D" w:rsidRDefault="00430B0D" w:rsidP="00430B0D">
      <w:pPr>
        <w:rPr>
          <w:rFonts w:cs="Arial"/>
        </w:rPr>
      </w:pPr>
    </w:p>
    <w:p w:rsidR="008A5998" w:rsidRDefault="008A5998"/>
    <w:sectPr w:rsidR="008A5998" w:rsidSect="006F7D08">
      <w:pgSz w:w="11906" w:h="16838"/>
      <w:pgMar w:top="1701" w:right="1701" w:bottom="11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430B0D"/>
    <w:rsid w:val="00004476"/>
    <w:rsid w:val="000044BD"/>
    <w:rsid w:val="000318FA"/>
    <w:rsid w:val="00076CED"/>
    <w:rsid w:val="000A07E2"/>
    <w:rsid w:val="000A0EF4"/>
    <w:rsid w:val="000B7847"/>
    <w:rsid w:val="000D50DC"/>
    <w:rsid w:val="00132738"/>
    <w:rsid w:val="001433E8"/>
    <w:rsid w:val="001B15F1"/>
    <w:rsid w:val="001E199B"/>
    <w:rsid w:val="001F4CEA"/>
    <w:rsid w:val="002044D6"/>
    <w:rsid w:val="0028291E"/>
    <w:rsid w:val="002922E1"/>
    <w:rsid w:val="00294BCD"/>
    <w:rsid w:val="00296F44"/>
    <w:rsid w:val="002B70E7"/>
    <w:rsid w:val="002C17E3"/>
    <w:rsid w:val="002D19FF"/>
    <w:rsid w:val="00317618"/>
    <w:rsid w:val="0032404C"/>
    <w:rsid w:val="003674CF"/>
    <w:rsid w:val="00394548"/>
    <w:rsid w:val="003C3A09"/>
    <w:rsid w:val="003F0554"/>
    <w:rsid w:val="003F1F6C"/>
    <w:rsid w:val="00417E54"/>
    <w:rsid w:val="00430B0D"/>
    <w:rsid w:val="00453C26"/>
    <w:rsid w:val="00453EF9"/>
    <w:rsid w:val="00477B9D"/>
    <w:rsid w:val="0048789B"/>
    <w:rsid w:val="004C423A"/>
    <w:rsid w:val="00510154"/>
    <w:rsid w:val="00564ED4"/>
    <w:rsid w:val="005966D6"/>
    <w:rsid w:val="005B7DB0"/>
    <w:rsid w:val="00613F87"/>
    <w:rsid w:val="00624677"/>
    <w:rsid w:val="00671486"/>
    <w:rsid w:val="00690B22"/>
    <w:rsid w:val="006F7D08"/>
    <w:rsid w:val="00711780"/>
    <w:rsid w:val="00731198"/>
    <w:rsid w:val="00746E75"/>
    <w:rsid w:val="0076327F"/>
    <w:rsid w:val="007D1F2B"/>
    <w:rsid w:val="0082572E"/>
    <w:rsid w:val="00851A04"/>
    <w:rsid w:val="00876EAD"/>
    <w:rsid w:val="00884D51"/>
    <w:rsid w:val="00890228"/>
    <w:rsid w:val="008A5998"/>
    <w:rsid w:val="009329F3"/>
    <w:rsid w:val="009D2845"/>
    <w:rsid w:val="00A045F2"/>
    <w:rsid w:val="00A05099"/>
    <w:rsid w:val="00A06256"/>
    <w:rsid w:val="00A675FC"/>
    <w:rsid w:val="00A72C38"/>
    <w:rsid w:val="00AC292B"/>
    <w:rsid w:val="00B12C7C"/>
    <w:rsid w:val="00B34588"/>
    <w:rsid w:val="00B44C1A"/>
    <w:rsid w:val="00B4656C"/>
    <w:rsid w:val="00B540BD"/>
    <w:rsid w:val="00B63F6D"/>
    <w:rsid w:val="00BF0E7F"/>
    <w:rsid w:val="00C129F3"/>
    <w:rsid w:val="00C247C0"/>
    <w:rsid w:val="00C421AE"/>
    <w:rsid w:val="00C55745"/>
    <w:rsid w:val="00D12077"/>
    <w:rsid w:val="00D33E74"/>
    <w:rsid w:val="00DA7070"/>
    <w:rsid w:val="00E631DD"/>
    <w:rsid w:val="00EA1B14"/>
    <w:rsid w:val="00F50A0A"/>
    <w:rsid w:val="00F76D85"/>
    <w:rsid w:val="00F77B90"/>
    <w:rsid w:val="00F85FAC"/>
    <w:rsid w:val="00FB50F7"/>
    <w:rsid w:val="00FC7AEC"/>
    <w:rsid w:val="00FF3F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0D"/>
    <w:pPr>
      <w:spacing w:line="276" w:lineRule="auto"/>
    </w:pPr>
    <w:rPr>
      <w:rFonts w:ascii="Book Antiqua" w:hAnsi="Book Antiqu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99"/>
    <w:qFormat/>
    <w:rsid w:val="00430B0D"/>
    <w:pPr>
      <w:spacing w:after="0" w:line="240" w:lineRule="auto"/>
      <w:jc w:val="left"/>
    </w:pPr>
  </w:style>
  <w:style w:type="paragraph" w:styleId="Cabealho">
    <w:name w:val="header"/>
    <w:basedOn w:val="Normal"/>
    <w:link w:val="CabealhoChar"/>
    <w:uiPriority w:val="99"/>
    <w:rsid w:val="006F7D08"/>
    <w:pPr>
      <w:tabs>
        <w:tab w:val="center" w:pos="4252"/>
        <w:tab w:val="right" w:pos="8504"/>
      </w:tabs>
      <w:spacing w:after="0" w:line="240" w:lineRule="auto"/>
      <w:jc w:val="left"/>
    </w:pPr>
    <w:rPr>
      <w:rFonts w:ascii="Times New Roman" w:eastAsia="Times New Roman" w:hAnsi="Times New Roman" w:cs="Times New Roman"/>
      <w:lang w:eastAsia="pt-BR"/>
    </w:rPr>
  </w:style>
  <w:style w:type="character" w:customStyle="1" w:styleId="CabealhoChar">
    <w:name w:val="Cabeçalho Char"/>
    <w:basedOn w:val="Fontepargpadro"/>
    <w:link w:val="Cabealho"/>
    <w:uiPriority w:val="99"/>
    <w:rsid w:val="006F7D0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76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B5A5-5F41-412E-9C8F-FD8995DA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1452</Words>
  <Characters>7847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SEEDUC</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rguimaraes</dc:creator>
  <cp:lastModifiedBy>MARCO&amp;LUZIA</cp:lastModifiedBy>
  <cp:revision>12</cp:revision>
  <cp:lastPrinted>2012-06-14T02:21:00Z</cp:lastPrinted>
  <dcterms:created xsi:type="dcterms:W3CDTF">2012-06-07T03:58:00Z</dcterms:created>
  <dcterms:modified xsi:type="dcterms:W3CDTF">2012-06-14T02:30:00Z</dcterms:modified>
</cp:coreProperties>
</file>